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0" w:type="dxa"/>
        <w:tblInd w:w="108" w:type="dxa"/>
        <w:tblLayout w:type="fixed"/>
        <w:tblLook w:val="04A0" w:firstRow="1" w:lastRow="0" w:firstColumn="1" w:lastColumn="0" w:noHBand="0" w:noVBand="1"/>
      </w:tblPr>
      <w:tblGrid>
        <w:gridCol w:w="3042"/>
        <w:gridCol w:w="378"/>
        <w:gridCol w:w="5680"/>
      </w:tblGrid>
      <w:tr w:rsidR="00931939" w:rsidRPr="00931939" w14:paraId="337D788C" w14:textId="77777777">
        <w:trPr>
          <w:trHeight w:val="999"/>
        </w:trPr>
        <w:tc>
          <w:tcPr>
            <w:tcW w:w="3042" w:type="dxa"/>
          </w:tcPr>
          <w:p w14:paraId="3E032EDA" w14:textId="77777777" w:rsidR="00F9521C" w:rsidRPr="00931939" w:rsidRDefault="001860EB">
            <w:pPr>
              <w:spacing w:after="0" w:line="240" w:lineRule="auto"/>
              <w:jc w:val="center"/>
              <w:rPr>
                <w:rFonts w:cs="Times New Roman"/>
                <w:b/>
                <w:szCs w:val="28"/>
              </w:rPr>
            </w:pPr>
            <w:bookmarkStart w:id="0" w:name="_Toc81059772"/>
            <w:r w:rsidRPr="00931939">
              <w:rPr>
                <w:rFonts w:cs="Times New Roman"/>
                <w:szCs w:val="28"/>
              </w:rPr>
              <w:br w:type="page"/>
            </w:r>
            <w:r w:rsidRPr="00931939">
              <w:rPr>
                <w:rFonts w:cs="Times New Roman"/>
                <w:b/>
                <w:szCs w:val="28"/>
              </w:rPr>
              <w:t xml:space="preserve">BỘ CÔNG THƯƠNG </w:t>
            </w:r>
          </w:p>
          <w:p w14:paraId="1B2929E1" w14:textId="77777777" w:rsidR="00F9521C" w:rsidRPr="00931939" w:rsidRDefault="001860EB">
            <w:pPr>
              <w:spacing w:after="0" w:line="240" w:lineRule="auto"/>
              <w:jc w:val="center"/>
              <w:rPr>
                <w:rFonts w:cs="Times New Roman"/>
                <w:b/>
                <w:szCs w:val="28"/>
              </w:rPr>
            </w:pPr>
            <w:r w:rsidRPr="00931939">
              <w:rPr>
                <w:rFonts w:cs="Times New Roman"/>
                <w:noProof/>
              </w:rPr>
              <mc:AlternateContent>
                <mc:Choice Requires="wps">
                  <w:drawing>
                    <wp:anchor distT="0" distB="0" distL="114300" distR="114300" simplePos="0" relativeHeight="251660288" behindDoc="0" locked="0" layoutInCell="1" allowOverlap="1" wp14:anchorId="7BEEBA11" wp14:editId="10651D7B">
                      <wp:simplePos x="0" y="0"/>
                      <wp:positionH relativeFrom="column">
                        <wp:posOffset>459105</wp:posOffset>
                      </wp:positionH>
                      <wp:positionV relativeFrom="paragraph">
                        <wp:posOffset>74930</wp:posOffset>
                      </wp:positionV>
                      <wp:extent cx="857250" cy="0"/>
                      <wp:effectExtent l="0" t="0" r="0" b="0"/>
                      <wp:wrapNone/>
                      <wp:docPr id="1920383672" name="Straight Connector 3"/>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3" o:spid="_x0000_s1026" o:spt="20" style="position:absolute;left:0pt;margin-left:36.15pt;margin-top:5.9pt;height:0pt;width:67.5pt;z-index:251660288;mso-width-relative:page;mso-height-relative:page;" filled="f" stroked="t" coordsize="21600,21600" o:gfxdata="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2Gofw&#10;0wAAAAgBAAAPAAAAAAAAAAEAIAAAADgAAABkcnMvZG93bnJldi54bWxQSwECFAAUAAAACACHTuJA&#10;SGbGwNcBAAC8AwAADgAAAAAAAAABACAAAAA4AQAAZHJzL2Uyb0RvYy54bWxQSwUGAAAAAAYABgBZ&#10;AQAAgQUAAAAA&#10;">
                      <v:fill on="f" focussize="0,0"/>
                      <v:stroke weight="0.5pt" color="#000000 [3200]" miterlimit="8" joinstyle="miter"/>
                      <v:imagedata o:title=""/>
                      <o:lock v:ext="edit" aspectratio="f"/>
                    </v:line>
                  </w:pict>
                </mc:Fallback>
              </mc:AlternateContent>
            </w:r>
          </w:p>
        </w:tc>
        <w:tc>
          <w:tcPr>
            <w:tcW w:w="6058" w:type="dxa"/>
            <w:gridSpan w:val="2"/>
          </w:tcPr>
          <w:p w14:paraId="1538578F" w14:textId="77777777" w:rsidR="00F9521C" w:rsidRPr="00931939" w:rsidRDefault="001860EB">
            <w:pPr>
              <w:spacing w:after="0" w:line="240" w:lineRule="auto"/>
              <w:rPr>
                <w:rFonts w:cs="Times New Roman"/>
                <w:b/>
                <w:szCs w:val="28"/>
              </w:rPr>
            </w:pPr>
            <w:r w:rsidRPr="00931939">
              <w:rPr>
                <w:rFonts w:cs="Times New Roman"/>
                <w:b/>
                <w:szCs w:val="28"/>
              </w:rPr>
              <w:t>CỘNG HOÀ XÃ HỘI CHỦ NGHĨA VIỆT NAM</w:t>
            </w:r>
          </w:p>
          <w:p w14:paraId="2D83D2FB" w14:textId="77777777" w:rsidR="00F9521C" w:rsidRPr="00931939" w:rsidRDefault="001860EB">
            <w:pPr>
              <w:spacing w:after="0" w:line="240" w:lineRule="auto"/>
              <w:jc w:val="center"/>
              <w:rPr>
                <w:rFonts w:cs="Times New Roman"/>
                <w:b/>
                <w:szCs w:val="28"/>
              </w:rPr>
            </w:pPr>
            <w:r w:rsidRPr="00931939">
              <w:rPr>
                <w:rFonts w:cs="Times New Roman"/>
                <w:b/>
                <w:szCs w:val="28"/>
              </w:rPr>
              <w:t>Độc lập - Tự do - Hạnh phúc</w:t>
            </w:r>
          </w:p>
          <w:p w14:paraId="3541AC58" w14:textId="77777777" w:rsidR="00F9521C" w:rsidRPr="00931939" w:rsidRDefault="001860EB">
            <w:pPr>
              <w:spacing w:after="0" w:line="240" w:lineRule="auto"/>
              <w:jc w:val="center"/>
              <w:rPr>
                <w:rFonts w:cs="Times New Roman"/>
                <w:szCs w:val="28"/>
              </w:rPr>
            </w:pPr>
            <w:r w:rsidRPr="00931939">
              <w:rPr>
                <w:rFonts w:cs="Times New Roman"/>
                <w:noProof/>
              </w:rPr>
              <mc:AlternateContent>
                <mc:Choice Requires="wps">
                  <w:drawing>
                    <wp:anchor distT="0" distB="0" distL="114300" distR="114300" simplePos="0" relativeHeight="251661312" behindDoc="0" locked="0" layoutInCell="1" allowOverlap="1" wp14:anchorId="1228C28A" wp14:editId="40BBED38">
                      <wp:simplePos x="0" y="0"/>
                      <wp:positionH relativeFrom="column">
                        <wp:posOffset>794385</wp:posOffset>
                      </wp:positionH>
                      <wp:positionV relativeFrom="paragraph">
                        <wp:posOffset>51435</wp:posOffset>
                      </wp:positionV>
                      <wp:extent cx="2171700" cy="0"/>
                      <wp:effectExtent l="0" t="0" r="0" b="0"/>
                      <wp:wrapNone/>
                      <wp:docPr id="179889424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o:spid="_x0000_s1026" o:spt="20" style="position:absolute;left:0pt;margin-left:62.55pt;margin-top:4.05pt;height:0pt;width:171pt;z-index:251661312;mso-width-relative:page;mso-height-relative:page;" filled="f" stroked="t" coordsize="21600,21600" o:gfxdata="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DX+&#10;1wzTAAAABwEAAA8AAAAAAAAAAQAgAAAAOAAAAGRycy9kb3ducmV2LnhtbFBLAQIUABQAAAAIAIdO&#10;4kDI1ndJ2QEAAL0DAAAOAAAAAAAAAAEAIAAAADgBAABkcnMvZTJvRG9jLnhtbFBLBQYAAAAABgAG&#10;AFkBAACDBQAAAAA=&#10;">
                      <v:fill on="f" focussize="0,0"/>
                      <v:stroke weight="0.5pt" color="#000000 [3200]" miterlimit="8" joinstyle="miter"/>
                      <v:imagedata o:title=""/>
                      <o:lock v:ext="edit" aspectratio="f"/>
                    </v:line>
                  </w:pict>
                </mc:Fallback>
              </mc:AlternateContent>
            </w:r>
          </w:p>
        </w:tc>
      </w:tr>
      <w:tr w:rsidR="00931939" w:rsidRPr="00931939" w14:paraId="1E041CC1" w14:textId="77777777">
        <w:tc>
          <w:tcPr>
            <w:tcW w:w="3420" w:type="dxa"/>
            <w:gridSpan w:val="2"/>
          </w:tcPr>
          <w:p w14:paraId="13473EA1" w14:textId="608EF6B1" w:rsidR="00F9521C" w:rsidRPr="00931939" w:rsidRDefault="001860EB">
            <w:pPr>
              <w:spacing w:after="120" w:line="240" w:lineRule="auto"/>
              <w:jc w:val="center"/>
              <w:rPr>
                <w:rFonts w:eastAsia="Times New Roman" w:cs="Times New Roman"/>
                <w:szCs w:val="28"/>
                <w:lang w:eastAsia="vi-VN"/>
              </w:rPr>
            </w:pPr>
            <w:r w:rsidRPr="00931939">
              <w:rPr>
                <w:rFonts w:eastAsia="Times New Roman" w:cs="Times New Roman"/>
                <w:szCs w:val="28"/>
                <w:lang w:eastAsia="vi-VN"/>
              </w:rPr>
              <w:t xml:space="preserve">Số: </w:t>
            </w:r>
            <w:r w:rsidR="00AA2F54" w:rsidRPr="00931939">
              <w:rPr>
                <w:rFonts w:eastAsia="Times New Roman" w:cs="Times New Roman"/>
                <w:b/>
                <w:szCs w:val="28"/>
                <w:lang w:eastAsia="vi-VN"/>
              </w:rPr>
              <w:t xml:space="preserve">           </w:t>
            </w:r>
            <w:r w:rsidR="00CF75B9" w:rsidRPr="00931939">
              <w:rPr>
                <w:rFonts w:eastAsia="Times New Roman" w:cs="Times New Roman"/>
                <w:b/>
                <w:szCs w:val="28"/>
                <w:lang w:eastAsia="vi-VN"/>
              </w:rPr>
              <w:t xml:space="preserve"> </w:t>
            </w:r>
            <w:r w:rsidRPr="00931939">
              <w:rPr>
                <w:rFonts w:eastAsia="Times New Roman" w:cs="Times New Roman"/>
                <w:szCs w:val="28"/>
                <w:lang w:eastAsia="vi-VN"/>
              </w:rPr>
              <w:t>/BCT</w:t>
            </w:r>
            <w:r w:rsidR="003F5BD4" w:rsidRPr="00931939">
              <w:rPr>
                <w:rFonts w:eastAsia="Times New Roman" w:cs="Times New Roman"/>
                <w:szCs w:val="28"/>
                <w:lang w:eastAsia="vi-VN"/>
              </w:rPr>
              <w:t>-ĐL</w:t>
            </w:r>
          </w:p>
          <w:p w14:paraId="6F865EC2" w14:textId="39F6F5B8" w:rsidR="001F6304" w:rsidRPr="00931939" w:rsidRDefault="00A013CC" w:rsidP="003D014D">
            <w:pPr>
              <w:spacing w:before="240" w:after="120" w:line="240" w:lineRule="auto"/>
              <w:jc w:val="center"/>
              <w:rPr>
                <w:rFonts w:cs="Times New Roman"/>
                <w:szCs w:val="28"/>
              </w:rPr>
            </w:pPr>
            <w:r>
              <w:rPr>
                <w:rFonts w:cs="Times New Roman"/>
                <w:noProof/>
                <w:szCs w:val="28"/>
                <w14:ligatures w14:val="none"/>
              </w:rPr>
              <mc:AlternateContent>
                <mc:Choice Requires="wps">
                  <w:drawing>
                    <wp:anchor distT="0" distB="0" distL="114300" distR="114300" simplePos="0" relativeHeight="251662336" behindDoc="0" locked="0" layoutInCell="1" allowOverlap="1" wp14:anchorId="523D5900" wp14:editId="2B13D335">
                      <wp:simplePos x="0" y="0"/>
                      <wp:positionH relativeFrom="column">
                        <wp:posOffset>125729</wp:posOffset>
                      </wp:positionH>
                      <wp:positionV relativeFrom="paragraph">
                        <wp:posOffset>117475</wp:posOffset>
                      </wp:positionV>
                      <wp:extent cx="11906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90625" cy="438150"/>
                              </a:xfrm>
                              <a:prstGeom prst="rect">
                                <a:avLst/>
                              </a:prstGeom>
                              <a:solidFill>
                                <a:schemeClr val="lt1"/>
                              </a:solidFill>
                              <a:ln w="6350">
                                <a:solidFill>
                                  <a:prstClr val="black"/>
                                </a:solidFill>
                              </a:ln>
                            </wps:spPr>
                            <wps:txbx>
                              <w:txbxContent>
                                <w:p w14:paraId="4B9411BA" w14:textId="29EEC5D7" w:rsidR="00A013CC" w:rsidRPr="00A013CC" w:rsidRDefault="00A013CC">
                                  <w:pPr>
                                    <w:rPr>
                                      <w:b/>
                                    </w:rPr>
                                  </w:pPr>
                                  <w:r w:rsidRPr="00A013CC">
                                    <w:rPr>
                                      <w:b/>
                                    </w:rPr>
                                    <w:t>DỰ THẢO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3D5900" id="_x0000_t202" coordsize="21600,21600" o:spt="202" path="m,l,21600r21600,l21600,xe">
                      <v:stroke joinstyle="miter"/>
                      <v:path gradientshapeok="t" o:connecttype="rect"/>
                    </v:shapetype>
                    <v:shape id="Text Box 1" o:spid="_x0000_s1026" type="#_x0000_t202" style="position:absolute;left:0;text-align:left;margin-left:9.9pt;margin-top:9.25pt;width:93.75pt;height:3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" fillcolor="white [3201]" strokeweight=".5pt">
                      <v:textbox>
                        <w:txbxContent>
                          <w:p w14:paraId="4B9411BA" w14:textId="29EEC5D7" w:rsidR="00A013CC" w:rsidRPr="00A013CC" w:rsidRDefault="00A013CC">
                            <w:pPr>
                              <w:rPr>
                                <w:b/>
                              </w:rPr>
                            </w:pPr>
                            <w:r w:rsidRPr="00A013CC">
                              <w:rPr>
                                <w:b/>
                              </w:rPr>
                              <w:t>DỰ THẢO 2</w:t>
                            </w:r>
                          </w:p>
                        </w:txbxContent>
                      </v:textbox>
                    </v:shape>
                  </w:pict>
                </mc:Fallback>
              </mc:AlternateContent>
            </w:r>
          </w:p>
        </w:tc>
        <w:tc>
          <w:tcPr>
            <w:tcW w:w="5680" w:type="dxa"/>
          </w:tcPr>
          <w:p w14:paraId="10EE38C2" w14:textId="665B7526" w:rsidR="00F9521C" w:rsidRPr="00931939" w:rsidRDefault="001860EB">
            <w:pPr>
              <w:spacing w:after="120" w:line="240" w:lineRule="auto"/>
              <w:jc w:val="center"/>
              <w:rPr>
                <w:rFonts w:cs="Times New Roman"/>
                <w:i/>
                <w:szCs w:val="28"/>
              </w:rPr>
            </w:pPr>
            <w:r w:rsidRPr="00931939">
              <w:rPr>
                <w:rFonts w:cs="Times New Roman"/>
                <w:i/>
                <w:szCs w:val="28"/>
              </w:rPr>
              <w:t xml:space="preserve">Hà Nội, ngày </w:t>
            </w:r>
            <w:r w:rsidR="00AA2F54" w:rsidRPr="00931939">
              <w:rPr>
                <w:rFonts w:cs="Times New Roman"/>
                <w:i/>
                <w:szCs w:val="28"/>
              </w:rPr>
              <w:t xml:space="preserve">    </w:t>
            </w:r>
            <w:r w:rsidRPr="00931939">
              <w:rPr>
                <w:rFonts w:cs="Times New Roman"/>
                <w:i/>
                <w:szCs w:val="28"/>
              </w:rPr>
              <w:t xml:space="preserve"> tháng </w:t>
            </w:r>
            <w:r w:rsidR="00EB2DBF" w:rsidRPr="00931939">
              <w:rPr>
                <w:rFonts w:cs="Times New Roman"/>
                <w:i/>
                <w:szCs w:val="28"/>
              </w:rPr>
              <w:t xml:space="preserve">      </w:t>
            </w:r>
            <w:r w:rsidR="00BA3903" w:rsidRPr="00931939">
              <w:rPr>
                <w:rFonts w:cs="Times New Roman"/>
                <w:i/>
                <w:szCs w:val="28"/>
              </w:rPr>
              <w:t xml:space="preserve"> </w:t>
            </w:r>
            <w:r w:rsidRPr="00931939">
              <w:rPr>
                <w:rFonts w:cs="Times New Roman"/>
                <w:i/>
                <w:szCs w:val="28"/>
              </w:rPr>
              <w:t xml:space="preserve">năm </w:t>
            </w:r>
            <w:r w:rsidR="00DC17C9" w:rsidRPr="00931939">
              <w:rPr>
                <w:rFonts w:cs="Times New Roman"/>
                <w:i/>
                <w:szCs w:val="28"/>
              </w:rPr>
              <w:t>202</w:t>
            </w:r>
            <w:r w:rsidR="00EB2DBF" w:rsidRPr="00931939">
              <w:rPr>
                <w:rFonts w:cs="Times New Roman"/>
                <w:i/>
                <w:szCs w:val="28"/>
              </w:rPr>
              <w:t>6</w:t>
            </w:r>
          </w:p>
        </w:tc>
      </w:tr>
    </w:tbl>
    <w:p w14:paraId="0EFF6E20" w14:textId="77777777" w:rsidR="00F9521C" w:rsidRPr="00931939" w:rsidRDefault="001860EB" w:rsidP="00DE2782">
      <w:pPr>
        <w:spacing w:before="120" w:after="60" w:line="240" w:lineRule="auto"/>
        <w:jc w:val="center"/>
        <w:rPr>
          <w:rFonts w:cs="Times New Roman"/>
          <w:b/>
          <w:szCs w:val="28"/>
        </w:rPr>
      </w:pPr>
      <w:r w:rsidRPr="00931939">
        <w:rPr>
          <w:rFonts w:cs="Times New Roman"/>
          <w:b/>
          <w:szCs w:val="28"/>
        </w:rPr>
        <w:t>BÁO CÁO</w:t>
      </w:r>
    </w:p>
    <w:p w14:paraId="769EB164" w14:textId="15810918" w:rsidR="00F9521C" w:rsidRPr="00931939" w:rsidRDefault="001860EB">
      <w:pPr>
        <w:spacing w:after="0" w:line="240" w:lineRule="auto"/>
        <w:jc w:val="center"/>
        <w:rPr>
          <w:rFonts w:cs="Times New Roman"/>
          <w:b/>
          <w:szCs w:val="28"/>
        </w:rPr>
      </w:pPr>
      <w:r w:rsidRPr="00931939">
        <w:rPr>
          <w:rFonts w:cs="Times New Roman"/>
          <w:b/>
          <w:szCs w:val="28"/>
        </w:rPr>
        <w:t xml:space="preserve">Về rà soát </w:t>
      </w:r>
      <w:r w:rsidR="00D04C85" w:rsidRPr="00931939">
        <w:rPr>
          <w:rFonts w:eastAsia="Times New Roman" w:cs="Times New Roman"/>
          <w:b/>
          <w:szCs w:val="28"/>
          <w:lang w:val="nl-NL"/>
        </w:rPr>
        <w:t>các chủ trương, đường lối của Đảng,</w:t>
      </w:r>
      <w:r w:rsidRPr="00931939">
        <w:rPr>
          <w:rFonts w:cs="Times New Roman"/>
          <w:b/>
          <w:szCs w:val="28"/>
        </w:rPr>
        <w:t xml:space="preserve"> văn bản quy phạm pháp luật</w:t>
      </w:r>
      <w:r w:rsidR="00D04C85" w:rsidRPr="00931939">
        <w:rPr>
          <w:rFonts w:cs="Times New Roman"/>
          <w:b/>
          <w:szCs w:val="28"/>
        </w:rPr>
        <w:t xml:space="preserve">, điều ước quốc tế </w:t>
      </w:r>
      <w:r w:rsidRPr="00931939">
        <w:rPr>
          <w:rFonts w:cs="Times New Roman"/>
          <w:b/>
          <w:szCs w:val="28"/>
        </w:rPr>
        <w:t xml:space="preserve">có liên quan đến dự án </w:t>
      </w:r>
      <w:r w:rsidR="00D04C85" w:rsidRPr="00931939">
        <w:rPr>
          <w:rFonts w:cs="Times New Roman"/>
          <w:b/>
          <w:szCs w:val="28"/>
        </w:rPr>
        <w:t xml:space="preserve">Nghị </w:t>
      </w:r>
      <w:r w:rsidR="00BA3903" w:rsidRPr="00931939">
        <w:rPr>
          <w:rFonts w:cs="Times New Roman"/>
          <w:b/>
          <w:szCs w:val="28"/>
        </w:rPr>
        <w:t>định</w:t>
      </w:r>
    </w:p>
    <w:p w14:paraId="410832C1" w14:textId="77777777" w:rsidR="00F9521C" w:rsidRPr="00931939" w:rsidRDefault="001860EB">
      <w:pPr>
        <w:spacing w:after="0" w:line="240" w:lineRule="auto"/>
        <w:jc w:val="center"/>
        <w:rPr>
          <w:rFonts w:cs="Times New Roman"/>
          <w:b/>
          <w:szCs w:val="28"/>
        </w:rPr>
      </w:pPr>
      <w:r w:rsidRPr="00931939">
        <w:rPr>
          <w:rFonts w:cs="Times New Roman"/>
          <w:noProof/>
        </w:rPr>
        <mc:AlternateContent>
          <mc:Choice Requires="wps">
            <w:drawing>
              <wp:anchor distT="0" distB="0" distL="114300" distR="114300" simplePos="0" relativeHeight="251659264" behindDoc="0" locked="0" layoutInCell="1" allowOverlap="1" wp14:anchorId="048842F5" wp14:editId="7A7D5AA9">
                <wp:simplePos x="0" y="0"/>
                <wp:positionH relativeFrom="margin">
                  <wp:posOffset>2456180</wp:posOffset>
                </wp:positionH>
                <wp:positionV relativeFrom="paragraph">
                  <wp:posOffset>41910</wp:posOffset>
                </wp:positionV>
                <wp:extent cx="981075" cy="0"/>
                <wp:effectExtent l="0" t="0" r="0" b="0"/>
                <wp:wrapNone/>
                <wp:docPr id="1969983955"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 o:spid="_x0000_s1026" o:spt="20" style="position:absolute;left:0pt;margin-left:193.4pt;margin-top:3.3pt;height:0pt;width:77.25pt;mso-position-horizontal-relative:margin;z-index:251659264;mso-width-relative:page;mso-height-relative:page;" filled="f" stroked="t" coordsize="21600,21600" o:gfxdata="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e&#10;aOwP1AAAAAcBAAAPAAAAAAAAAAEAIAAAADgAAABkcnMvZG93bnJldi54bWxQSwECFAAUAAAACACH&#10;TuJAlxPCG9kBAAC8AwAADgAAAAAAAAABACAAAAA5AQAAZHJzL2Uyb0RvYy54bWxQSwUGAAAAAAYA&#10;BgBZAQAAhAUAAAAA&#10;">
                <v:fill on="f" focussize="0,0"/>
                <v:stroke weight="0.5pt" color="#000000 [3200]" miterlimit="8" joinstyle="miter"/>
                <v:imagedata o:title=""/>
                <o:lock v:ext="edit" aspectratio="f"/>
              </v:line>
            </w:pict>
          </mc:Fallback>
        </mc:AlternateContent>
      </w:r>
    </w:p>
    <w:p w14:paraId="728FDF77" w14:textId="23D257E1" w:rsidR="00F9521C" w:rsidRPr="00931939" w:rsidRDefault="001860EB" w:rsidP="00211606">
      <w:pPr>
        <w:widowControl w:val="0"/>
        <w:spacing w:before="60" w:after="60" w:line="264" w:lineRule="auto"/>
        <w:ind w:firstLine="567"/>
        <w:jc w:val="both"/>
        <w:rPr>
          <w:rFonts w:cs="Times New Roman"/>
          <w:szCs w:val="28"/>
        </w:rPr>
      </w:pPr>
      <w:r w:rsidRPr="00931939">
        <w:rPr>
          <w:rFonts w:cs="Times New Roman"/>
          <w:szCs w:val="28"/>
        </w:rPr>
        <w:t>Thực hiện quy định của Luật Ban hành văn bản quy phạm pháp luật</w:t>
      </w:r>
      <w:r w:rsidR="00F2634F" w:rsidRPr="00931939">
        <w:rPr>
          <w:rFonts w:cs="Times New Roman"/>
          <w:szCs w:val="28"/>
        </w:rPr>
        <w:t>;</w:t>
      </w:r>
      <w:r w:rsidRPr="00931939">
        <w:rPr>
          <w:rFonts w:cs="Times New Roman"/>
          <w:szCs w:val="28"/>
        </w:rPr>
        <w:t xml:space="preserve"> </w:t>
      </w:r>
      <w:r w:rsidR="00F2634F" w:rsidRPr="00931939">
        <w:rPr>
          <w:rFonts w:cs="Times New Roman"/>
          <w:iCs/>
          <w:szCs w:val="28"/>
        </w:rPr>
        <w:t xml:space="preserve">chủ trương, định hướng của Đảng theo Nghị quyết số 70-NQ/TW ngày 20 tháng 8 năm 2025 của Bộ Chính trị và </w:t>
      </w:r>
      <w:r w:rsidR="00BA3903" w:rsidRPr="00931939">
        <w:rPr>
          <w:rFonts w:cs="Times New Roman"/>
          <w:iCs/>
          <w:szCs w:val="28"/>
        </w:rPr>
        <w:t xml:space="preserve">Quyết định số </w:t>
      </w:r>
      <w:r w:rsidR="00543BCA">
        <w:rPr>
          <w:rFonts w:cs="Times New Roman"/>
          <w:iCs/>
          <w:szCs w:val="28"/>
        </w:rPr>
        <w:t>2835</w:t>
      </w:r>
      <w:r w:rsidR="00BA3903" w:rsidRPr="00931939">
        <w:rPr>
          <w:rFonts w:cs="Times New Roman"/>
          <w:iCs/>
          <w:szCs w:val="28"/>
        </w:rPr>
        <w:t xml:space="preserve">/QĐ-TTg ngày </w:t>
      </w:r>
      <w:r w:rsidR="00543BCA">
        <w:rPr>
          <w:rFonts w:cs="Times New Roman"/>
          <w:iCs/>
          <w:szCs w:val="28"/>
        </w:rPr>
        <w:t>31</w:t>
      </w:r>
      <w:r w:rsidR="00BA3903" w:rsidRPr="00931939">
        <w:rPr>
          <w:rFonts w:cs="Times New Roman"/>
          <w:iCs/>
          <w:szCs w:val="28"/>
        </w:rPr>
        <w:t xml:space="preserve"> tháng </w:t>
      </w:r>
      <w:r w:rsidR="00543BCA">
        <w:rPr>
          <w:rFonts w:cs="Times New Roman"/>
          <w:iCs/>
          <w:szCs w:val="28"/>
        </w:rPr>
        <w:t>12</w:t>
      </w:r>
      <w:r w:rsidR="00BA3903" w:rsidRPr="00931939">
        <w:rPr>
          <w:rFonts w:cs="Times New Roman"/>
          <w:iCs/>
          <w:szCs w:val="28"/>
        </w:rPr>
        <w:t xml:space="preserve"> năm 2026 của Thủ tướng Chính phủ</w:t>
      </w:r>
      <w:r w:rsidRPr="00931939">
        <w:rPr>
          <w:rFonts w:cs="Times New Roman"/>
          <w:szCs w:val="28"/>
        </w:rPr>
        <w:t xml:space="preserve">, Bộ Công Thương đã tiến hành rà soát các văn bản quy phạm pháp luật có liên quan đến dự án </w:t>
      </w:r>
      <w:r w:rsidR="00034325" w:rsidRPr="00931939">
        <w:rPr>
          <w:rFonts w:cs="Times New Roman"/>
          <w:szCs w:val="28"/>
        </w:rPr>
        <w:t xml:space="preserve">Nghị </w:t>
      </w:r>
      <w:r w:rsidR="00BA3903" w:rsidRPr="00931939">
        <w:rPr>
          <w:rFonts w:cs="Times New Roman"/>
          <w:szCs w:val="28"/>
        </w:rPr>
        <w:t>định</w:t>
      </w:r>
      <w:r w:rsidRPr="00931939">
        <w:rPr>
          <w:rFonts w:cs="Times New Roman"/>
          <w:szCs w:val="28"/>
        </w:rPr>
        <w:t>, kết quả rà soát như sau:</w:t>
      </w:r>
      <w:bookmarkStart w:id="1" w:name="_GoBack"/>
      <w:bookmarkEnd w:id="1"/>
    </w:p>
    <w:p w14:paraId="147CD1C4" w14:textId="45221E28" w:rsidR="00F9521C" w:rsidRPr="00931939" w:rsidRDefault="003B05BD" w:rsidP="003B05BD">
      <w:pPr>
        <w:pStyle w:val="Heading1"/>
        <w:tabs>
          <w:tab w:val="left" w:pos="851"/>
        </w:tabs>
        <w:spacing w:before="60" w:beforeAutospacing="0" w:after="60" w:afterAutospacing="0" w:line="264" w:lineRule="auto"/>
        <w:ind w:left="567"/>
        <w:jc w:val="both"/>
        <w:rPr>
          <w:sz w:val="28"/>
          <w:szCs w:val="28"/>
        </w:rPr>
      </w:pPr>
      <w:bookmarkStart w:id="2" w:name="_Toc81059784"/>
      <w:bookmarkStart w:id="3" w:name="_Toc100298354"/>
      <w:bookmarkEnd w:id="0"/>
      <w:r w:rsidRPr="00931939">
        <w:rPr>
          <w:sz w:val="28"/>
          <w:szCs w:val="28"/>
        </w:rPr>
        <w:t>I. TỔ CHỨC THỰC HIỆN RÀ SOÁT</w:t>
      </w:r>
    </w:p>
    <w:p w14:paraId="138817A9" w14:textId="21F38A37" w:rsidR="00F9521C" w:rsidRPr="00931939" w:rsidRDefault="003B05BD" w:rsidP="003B05BD">
      <w:pPr>
        <w:pStyle w:val="Heading1"/>
        <w:spacing w:before="60" w:beforeAutospacing="0" w:after="60" w:afterAutospacing="0" w:line="264" w:lineRule="auto"/>
        <w:ind w:firstLine="567"/>
        <w:jc w:val="both"/>
        <w:rPr>
          <w:sz w:val="28"/>
          <w:szCs w:val="28"/>
        </w:rPr>
      </w:pPr>
      <w:r w:rsidRPr="00931939">
        <w:rPr>
          <w:sz w:val="28"/>
          <w:szCs w:val="28"/>
        </w:rPr>
        <w:t>1. Mục đích, yêu cầu rà soát</w:t>
      </w:r>
    </w:p>
    <w:p w14:paraId="67005E7F" w14:textId="521C1C8F" w:rsidR="00F9521C" w:rsidRPr="00931939" w:rsidRDefault="008A33FD" w:rsidP="00211606">
      <w:pPr>
        <w:pStyle w:val="ListParagraph"/>
        <w:tabs>
          <w:tab w:val="left" w:pos="993"/>
        </w:tabs>
        <w:spacing w:before="60" w:after="60" w:line="264" w:lineRule="auto"/>
        <w:ind w:left="0" w:firstLine="567"/>
        <w:contextualSpacing w:val="0"/>
        <w:jc w:val="both"/>
        <w:rPr>
          <w:rFonts w:cs="Times New Roman"/>
          <w:szCs w:val="28"/>
          <w:lang w:val="nl-NL"/>
        </w:rPr>
      </w:pPr>
      <w:r w:rsidRPr="00931939">
        <w:rPr>
          <w:rFonts w:cs="Times New Roman"/>
          <w:szCs w:val="28"/>
          <w:lang w:val="nl-NL"/>
        </w:rPr>
        <w:t>a) Mục đích: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hợp.</w:t>
      </w:r>
    </w:p>
    <w:p w14:paraId="14361F82" w14:textId="339B451F" w:rsidR="00F9521C" w:rsidRPr="00931939" w:rsidRDefault="008A33FD" w:rsidP="00211606">
      <w:pPr>
        <w:pStyle w:val="ListParagraph"/>
        <w:tabs>
          <w:tab w:val="left" w:pos="993"/>
        </w:tabs>
        <w:spacing w:before="60" w:after="60" w:line="264" w:lineRule="auto"/>
        <w:ind w:left="0" w:firstLine="567"/>
        <w:contextualSpacing w:val="0"/>
        <w:jc w:val="both"/>
        <w:rPr>
          <w:rFonts w:cs="Times New Roman"/>
          <w:szCs w:val="28"/>
          <w:lang w:val="nl-NL"/>
        </w:rPr>
      </w:pPr>
      <w:r w:rsidRPr="00931939">
        <w:rPr>
          <w:rFonts w:cs="Times New Roman"/>
          <w:szCs w:val="28"/>
          <w:lang w:val="nl-NL"/>
        </w:rPr>
        <w:t>b) Yêu cầu rà soát: Trong quá trình đánh giá, đối chiếu, so sánh các quy định, phải nắm được rõ mục đích tồn tại và những yêu cầu, nhiệm vụ điều chỉnh cụ thể của từng văn bản, thậm chí là từng quy định. Đối với các quy định cần được xem xét xem có thực sự phù hợp với điều kiện thực tiễn thi hành không; có còn tồn tại, bất cập, vướng mắc gây cản trở cho các tổ chức, cá nhân tham gia đầu tư, kinh doanh trong lĩnh vực điện lực không; có đảm bảo sự khuyến khích của Nhà nước đối với phát triển nguồn năng lượng sạch, năng lượng tái tạo hay không.</w:t>
      </w:r>
    </w:p>
    <w:p w14:paraId="7B636AE1" w14:textId="67E73386" w:rsidR="00F9521C" w:rsidRPr="00931939" w:rsidRDefault="001860EB" w:rsidP="00211606">
      <w:pPr>
        <w:tabs>
          <w:tab w:val="left" w:pos="993"/>
        </w:tabs>
        <w:spacing w:before="60" w:after="60" w:line="264" w:lineRule="auto"/>
        <w:ind w:firstLine="567"/>
        <w:jc w:val="both"/>
        <w:rPr>
          <w:rFonts w:cs="Times New Roman"/>
          <w:spacing w:val="2"/>
          <w:szCs w:val="28"/>
          <w:lang w:val="nl-NL"/>
        </w:rPr>
      </w:pPr>
      <w:r w:rsidRPr="00931939">
        <w:rPr>
          <w:rFonts w:cs="Times New Roman"/>
          <w:spacing w:val="2"/>
          <w:szCs w:val="28"/>
          <w:lang w:val="nl-NL"/>
        </w:rPr>
        <w:t>Báo cáo này sẽ chỉ ra các vấn đề cần cân nhắc trong việc hoàn thiện pháp luật; đồng thời, sẽ có đề xuất (nếu có) trong việc hoàn thiện các hệ thống pháp luật khác nhằm tạo ra sự hài hòa trong cả hệ thống pháp luật, góp phần phát triển kinh tế - xã hội của đất nước, đặc biệt là trong bối cảnh toàn cầu hóa.</w:t>
      </w:r>
    </w:p>
    <w:p w14:paraId="300843D5" w14:textId="52D061AE" w:rsidR="00F9521C" w:rsidRPr="00931939" w:rsidRDefault="003B05BD" w:rsidP="003B05BD">
      <w:pPr>
        <w:pStyle w:val="Heading1"/>
        <w:spacing w:before="60" w:beforeAutospacing="0" w:after="60" w:afterAutospacing="0" w:line="264" w:lineRule="auto"/>
        <w:ind w:firstLine="567"/>
        <w:jc w:val="both"/>
        <w:rPr>
          <w:sz w:val="28"/>
          <w:szCs w:val="28"/>
          <w:lang w:val="nl-NL"/>
        </w:rPr>
      </w:pPr>
      <w:r w:rsidRPr="00931939">
        <w:rPr>
          <w:sz w:val="28"/>
          <w:szCs w:val="28"/>
          <w:lang w:val="nl-NL"/>
        </w:rPr>
        <w:t>2. Phạm vi, nội dung, đối tượng rà soát</w:t>
      </w:r>
    </w:p>
    <w:p w14:paraId="481F133A" w14:textId="77777777" w:rsidR="00F9521C" w:rsidRPr="00931939" w:rsidRDefault="001860EB" w:rsidP="00211606">
      <w:pPr>
        <w:tabs>
          <w:tab w:val="left" w:pos="993"/>
        </w:tabs>
        <w:spacing w:before="60" w:after="60" w:line="264" w:lineRule="auto"/>
        <w:ind w:firstLine="567"/>
        <w:jc w:val="both"/>
        <w:rPr>
          <w:rFonts w:eastAsia="MS Mincho" w:cs="Times New Roman"/>
          <w:szCs w:val="28"/>
          <w:lang w:val="nl-NL"/>
        </w:rPr>
      </w:pPr>
      <w:r w:rsidRPr="00931939">
        <w:rPr>
          <w:rFonts w:eastAsia="MS Mincho" w:cs="Times New Roman"/>
          <w:szCs w:val="28"/>
          <w:lang w:val="nl-NL"/>
        </w:rPr>
        <w:t>a) Phạm vi rà soát:</w:t>
      </w:r>
    </w:p>
    <w:p w14:paraId="6B317188" w14:textId="77777777" w:rsidR="00F9521C" w:rsidRPr="00931939" w:rsidRDefault="001860EB" w:rsidP="00211606">
      <w:pPr>
        <w:tabs>
          <w:tab w:val="left" w:pos="993"/>
        </w:tabs>
        <w:spacing w:before="60" w:after="60" w:line="264" w:lineRule="auto"/>
        <w:ind w:firstLine="567"/>
        <w:jc w:val="both"/>
        <w:rPr>
          <w:rFonts w:eastAsia="MS Mincho" w:cs="Times New Roman"/>
          <w:szCs w:val="28"/>
          <w:lang w:val="nl-NL"/>
        </w:rPr>
      </w:pPr>
      <w:r w:rsidRPr="00931939">
        <w:rPr>
          <w:rFonts w:eastAsia="MS Mincho" w:cs="Times New Roman"/>
          <w:szCs w:val="28"/>
          <w:lang w:val="nl-NL"/>
        </w:rPr>
        <w:t>- Nội dung Luật Điện lực hiện hành và các sửa đổi, bổ sung;</w:t>
      </w:r>
    </w:p>
    <w:p w14:paraId="7BBDF559" w14:textId="5993DB5C" w:rsidR="00E50767" w:rsidRPr="00931939" w:rsidRDefault="00E50767" w:rsidP="00211606">
      <w:pPr>
        <w:tabs>
          <w:tab w:val="left" w:pos="993"/>
        </w:tabs>
        <w:spacing w:before="60" w:after="60" w:line="264" w:lineRule="auto"/>
        <w:ind w:firstLine="567"/>
        <w:jc w:val="both"/>
        <w:rPr>
          <w:rFonts w:eastAsia="MS Mincho" w:cs="Times New Roman"/>
          <w:szCs w:val="28"/>
          <w:lang w:val="nl-NL"/>
        </w:rPr>
      </w:pPr>
      <w:r w:rsidRPr="00931939">
        <w:rPr>
          <w:rFonts w:eastAsia="MS Mincho" w:cs="Times New Roman"/>
          <w:szCs w:val="28"/>
          <w:lang w:val="nl-NL"/>
        </w:rPr>
        <w:t xml:space="preserve">- Luật </w:t>
      </w:r>
      <w:r w:rsidR="00685B63" w:rsidRPr="00931939">
        <w:rPr>
          <w:rFonts w:eastAsia="MS Mincho" w:cs="Times New Roman"/>
          <w:szCs w:val="28"/>
          <w:lang w:val="nl-NL"/>
        </w:rPr>
        <w:t>Đầu tư</w:t>
      </w:r>
      <w:r w:rsidRPr="00931939">
        <w:rPr>
          <w:rFonts w:eastAsia="MS Mincho" w:cs="Times New Roman"/>
          <w:szCs w:val="28"/>
          <w:lang w:val="nl-NL"/>
        </w:rPr>
        <w:t>;</w:t>
      </w:r>
    </w:p>
    <w:p w14:paraId="16710E06" w14:textId="4A36C084" w:rsidR="00AE4054" w:rsidRPr="00931939" w:rsidRDefault="00AE4054" w:rsidP="00AE4054">
      <w:pPr>
        <w:tabs>
          <w:tab w:val="left" w:pos="851"/>
          <w:tab w:val="left" w:pos="1276"/>
        </w:tabs>
        <w:spacing w:before="60" w:after="60" w:line="264" w:lineRule="auto"/>
        <w:ind w:firstLine="567"/>
        <w:jc w:val="both"/>
        <w:rPr>
          <w:rFonts w:cs="Times New Roman"/>
          <w:szCs w:val="28"/>
        </w:rPr>
      </w:pPr>
      <w:r w:rsidRPr="00931939">
        <w:rPr>
          <w:rFonts w:cs="Times New Roman"/>
          <w:szCs w:val="28"/>
        </w:rPr>
        <w:t xml:space="preserve">- </w:t>
      </w:r>
      <w:r w:rsidRPr="00931939">
        <w:rPr>
          <w:rFonts w:cs="Times New Roman"/>
          <w:szCs w:val="28"/>
          <w:lang w:val="vi-VN"/>
        </w:rPr>
        <w:t xml:space="preserve">Luật </w:t>
      </w:r>
      <w:r w:rsidR="00685B63" w:rsidRPr="00931939">
        <w:rPr>
          <w:rFonts w:cs="Times New Roman"/>
          <w:szCs w:val="28"/>
        </w:rPr>
        <w:t>Quy hoạch</w:t>
      </w:r>
      <w:r w:rsidRPr="00931939">
        <w:rPr>
          <w:rFonts w:cs="Times New Roman"/>
          <w:szCs w:val="28"/>
          <w:lang w:val="vi-VN"/>
        </w:rPr>
        <w:t>;</w:t>
      </w:r>
    </w:p>
    <w:p w14:paraId="0AF52D29" w14:textId="0C1B095B" w:rsidR="00AE4054" w:rsidRPr="00931939" w:rsidRDefault="00AE4054" w:rsidP="00AE4054">
      <w:pPr>
        <w:tabs>
          <w:tab w:val="left" w:pos="851"/>
          <w:tab w:val="left" w:pos="1276"/>
        </w:tabs>
        <w:spacing w:before="60" w:after="60" w:line="264" w:lineRule="auto"/>
        <w:ind w:firstLine="567"/>
        <w:jc w:val="both"/>
        <w:rPr>
          <w:rFonts w:cs="Times New Roman"/>
          <w:szCs w:val="28"/>
        </w:rPr>
      </w:pPr>
      <w:r w:rsidRPr="00931939">
        <w:rPr>
          <w:rFonts w:cs="Times New Roman"/>
          <w:szCs w:val="28"/>
        </w:rPr>
        <w:t>- Luật Đất đai;</w:t>
      </w:r>
    </w:p>
    <w:p w14:paraId="0442A7E7" w14:textId="5800AAF4" w:rsidR="00E54F9D" w:rsidRPr="00931939" w:rsidRDefault="00E54F9D" w:rsidP="00AE4054">
      <w:pPr>
        <w:tabs>
          <w:tab w:val="left" w:pos="851"/>
          <w:tab w:val="left" w:pos="1276"/>
        </w:tabs>
        <w:spacing w:before="60" w:after="60" w:line="264" w:lineRule="auto"/>
        <w:ind w:firstLine="567"/>
        <w:jc w:val="both"/>
        <w:rPr>
          <w:rFonts w:cs="Times New Roman"/>
          <w:szCs w:val="28"/>
        </w:rPr>
      </w:pPr>
      <w:r w:rsidRPr="00931939">
        <w:rPr>
          <w:rFonts w:cs="Times New Roman"/>
          <w:szCs w:val="28"/>
        </w:rPr>
        <w:lastRenderedPageBreak/>
        <w:t>…..</w:t>
      </w:r>
    </w:p>
    <w:p w14:paraId="62DD69F6" w14:textId="438E8C7C" w:rsidR="00F9521C" w:rsidRPr="00931939" w:rsidRDefault="001860EB" w:rsidP="00211606">
      <w:pPr>
        <w:tabs>
          <w:tab w:val="left" w:pos="993"/>
        </w:tabs>
        <w:spacing w:before="60" w:after="60" w:line="264" w:lineRule="auto"/>
        <w:ind w:firstLine="567"/>
        <w:jc w:val="both"/>
        <w:rPr>
          <w:rFonts w:eastAsia="MS Mincho" w:cs="Times New Roman"/>
          <w:szCs w:val="28"/>
          <w:lang w:val="nl-NL"/>
        </w:rPr>
      </w:pPr>
      <w:r w:rsidRPr="00931939">
        <w:rPr>
          <w:rFonts w:eastAsia="MS Mincho" w:cs="Times New Roman"/>
          <w:szCs w:val="28"/>
          <w:lang w:val="nl-NL"/>
        </w:rPr>
        <w:t>- Các văn bản quy phạm pháp luật khác có liên quan đến hoạt động điện lực.</w:t>
      </w:r>
    </w:p>
    <w:p w14:paraId="6336F06F" w14:textId="0582299A" w:rsidR="00F9521C" w:rsidRPr="00931939" w:rsidRDefault="001860EB" w:rsidP="00211606">
      <w:pPr>
        <w:tabs>
          <w:tab w:val="left" w:pos="993"/>
        </w:tabs>
        <w:spacing w:before="60" w:after="60" w:line="264" w:lineRule="auto"/>
        <w:ind w:firstLine="567"/>
        <w:jc w:val="both"/>
        <w:rPr>
          <w:rFonts w:cs="Times New Roman"/>
          <w:szCs w:val="28"/>
          <w:lang w:val="nl-NL"/>
        </w:rPr>
      </w:pPr>
      <w:r w:rsidRPr="00931939">
        <w:rPr>
          <w:rFonts w:eastAsia="MS Mincho" w:cs="Times New Roman"/>
          <w:szCs w:val="28"/>
          <w:lang w:val="nl-NL"/>
        </w:rPr>
        <w:t xml:space="preserve">b) Nội dung rà soát: </w:t>
      </w:r>
      <w:r w:rsidRPr="00931939">
        <w:rPr>
          <w:rFonts w:cs="Times New Roman"/>
          <w:szCs w:val="28"/>
          <w:lang w:val="nl-NL"/>
        </w:rPr>
        <w:t xml:space="preserve">Trên cơ sở mục đích và yêu cầu rà soát đã nêu </w:t>
      </w:r>
      <w:r w:rsidR="00002941" w:rsidRPr="00931939">
        <w:rPr>
          <w:rFonts w:cs="Times New Roman"/>
          <w:szCs w:val="28"/>
          <w:lang w:val="nl-NL"/>
        </w:rPr>
        <w:t>trên</w:t>
      </w:r>
      <w:r w:rsidRPr="00931939">
        <w:rPr>
          <w:rFonts w:cs="Times New Roman"/>
          <w:szCs w:val="28"/>
          <w:lang w:val="nl-NL"/>
        </w:rPr>
        <w:t xml:space="preserve">, báo cáo sẽ tập chung rà soát các nội dung theo các chính sách được đề xuất tại dự án </w:t>
      </w:r>
      <w:r w:rsidR="00FF1F0C" w:rsidRPr="00931939">
        <w:rPr>
          <w:rFonts w:cs="Times New Roman"/>
          <w:szCs w:val="28"/>
          <w:lang w:val="nl-NL"/>
        </w:rPr>
        <w:t xml:space="preserve">Nghị </w:t>
      </w:r>
      <w:r w:rsidR="007F5606" w:rsidRPr="00931939">
        <w:rPr>
          <w:rFonts w:cs="Times New Roman"/>
          <w:szCs w:val="28"/>
          <w:lang w:val="nl-NL"/>
        </w:rPr>
        <w:t>định</w:t>
      </w:r>
      <w:r w:rsidRPr="00931939">
        <w:rPr>
          <w:rFonts w:cs="Times New Roman"/>
          <w:szCs w:val="28"/>
          <w:lang w:val="nl-NL"/>
        </w:rPr>
        <w:t>, cụ thể:</w:t>
      </w:r>
    </w:p>
    <w:p w14:paraId="4DB2CC02" w14:textId="7E92FEA5" w:rsidR="00F9521C" w:rsidRPr="00931939" w:rsidRDefault="001860EB" w:rsidP="00211606">
      <w:pPr>
        <w:tabs>
          <w:tab w:val="left" w:pos="993"/>
        </w:tabs>
        <w:spacing w:before="60" w:after="60" w:line="264" w:lineRule="auto"/>
        <w:ind w:firstLine="567"/>
        <w:jc w:val="both"/>
        <w:rPr>
          <w:rFonts w:cs="Times New Roman"/>
          <w:szCs w:val="28"/>
          <w:lang w:val="nl-NL"/>
        </w:rPr>
      </w:pPr>
      <w:r w:rsidRPr="00931939">
        <w:rPr>
          <w:rFonts w:cs="Times New Roman"/>
          <w:i/>
          <w:szCs w:val="28"/>
          <w:lang w:val="nl-NL"/>
        </w:rPr>
        <w:t>Thứ nhất</w:t>
      </w:r>
      <w:r w:rsidRPr="00931939">
        <w:rPr>
          <w:rFonts w:cs="Times New Roman"/>
          <w:szCs w:val="28"/>
          <w:lang w:val="nl-NL"/>
        </w:rPr>
        <w:t xml:space="preserve">: Xác định xung đột, mâu thuẫn về hình thức, nội dung giữa </w:t>
      </w:r>
      <w:r w:rsidR="00561085" w:rsidRPr="00931939">
        <w:rPr>
          <w:rFonts w:cs="Times New Roman"/>
          <w:szCs w:val="28"/>
          <w:lang w:val="nl-NL"/>
        </w:rPr>
        <w:t xml:space="preserve">Nghị </w:t>
      </w:r>
      <w:r w:rsidR="006C5899" w:rsidRPr="00931939">
        <w:rPr>
          <w:rFonts w:cs="Times New Roman"/>
          <w:szCs w:val="28"/>
          <w:lang w:val="nl-NL"/>
        </w:rPr>
        <w:t>định</w:t>
      </w:r>
      <w:r w:rsidRPr="00931939">
        <w:rPr>
          <w:rFonts w:cs="Times New Roman"/>
          <w:szCs w:val="28"/>
          <w:lang w:val="nl-NL"/>
        </w:rPr>
        <w:t xml:space="preserve"> và các văn bản pháp luật hiện hành. Nội dung xung đột chính sách và các đề xuất giải quyết. </w:t>
      </w:r>
    </w:p>
    <w:p w14:paraId="5F4941F7" w14:textId="56484485" w:rsidR="00F9521C" w:rsidRPr="00931939" w:rsidRDefault="001860EB" w:rsidP="00211606">
      <w:pPr>
        <w:tabs>
          <w:tab w:val="left" w:pos="993"/>
        </w:tabs>
        <w:spacing w:before="60" w:after="60" w:line="264" w:lineRule="auto"/>
        <w:ind w:firstLine="567"/>
        <w:jc w:val="both"/>
        <w:rPr>
          <w:rFonts w:cs="Times New Roman"/>
          <w:szCs w:val="28"/>
          <w:lang w:val="nl-NL"/>
        </w:rPr>
      </w:pPr>
      <w:r w:rsidRPr="00931939">
        <w:rPr>
          <w:rFonts w:cs="Times New Roman"/>
          <w:i/>
          <w:szCs w:val="28"/>
          <w:lang w:val="nl-NL"/>
        </w:rPr>
        <w:t>Thứ hai:</w:t>
      </w:r>
      <w:r w:rsidRPr="00931939">
        <w:rPr>
          <w:rFonts w:cs="Times New Roman"/>
          <w:szCs w:val="28"/>
          <w:lang w:val="nl-NL"/>
        </w:rPr>
        <w:t xml:space="preserve"> Xác định sự nhất quán, phù hợp của </w:t>
      </w:r>
      <w:r w:rsidR="00561085" w:rsidRPr="00931939">
        <w:rPr>
          <w:rFonts w:cs="Times New Roman"/>
          <w:szCs w:val="28"/>
          <w:lang w:val="nl-NL"/>
        </w:rPr>
        <w:t xml:space="preserve">Nghị </w:t>
      </w:r>
      <w:r w:rsidR="00B82E16" w:rsidRPr="00931939">
        <w:rPr>
          <w:rFonts w:cs="Times New Roman"/>
          <w:szCs w:val="28"/>
          <w:lang w:val="nl-NL"/>
        </w:rPr>
        <w:t>định</w:t>
      </w:r>
      <w:r w:rsidRPr="00931939">
        <w:rPr>
          <w:rFonts w:cs="Times New Roman"/>
          <w:szCs w:val="28"/>
          <w:lang w:val="nl-NL"/>
        </w:rPr>
        <w:t xml:space="preserve"> trong bối cảnh mới, giai đoạn mới của nền kinh tế - xã hội, hội nhập sâu rộng vào nền kinh tế thế giới.</w:t>
      </w:r>
    </w:p>
    <w:p w14:paraId="18748763" w14:textId="0769A302" w:rsidR="00F9521C" w:rsidRPr="00931939" w:rsidRDefault="001860EB" w:rsidP="00211606">
      <w:pPr>
        <w:tabs>
          <w:tab w:val="left" w:pos="993"/>
        </w:tabs>
        <w:spacing w:before="60" w:after="60" w:line="264" w:lineRule="auto"/>
        <w:ind w:firstLine="567"/>
        <w:jc w:val="both"/>
        <w:rPr>
          <w:rFonts w:cs="Times New Roman"/>
          <w:szCs w:val="28"/>
          <w:shd w:val="clear" w:color="auto" w:fill="FFFFFF"/>
          <w:lang w:val="nl-NL"/>
        </w:rPr>
      </w:pPr>
      <w:r w:rsidRPr="00931939">
        <w:rPr>
          <w:rFonts w:eastAsia="MS Mincho" w:cs="Times New Roman"/>
          <w:szCs w:val="28"/>
          <w:lang w:val="nl-NL"/>
        </w:rPr>
        <w:t xml:space="preserve">c) Đối tượng rà soát: </w:t>
      </w:r>
    </w:p>
    <w:p w14:paraId="497A8E99" w14:textId="7A9F3D45" w:rsidR="00F9521C" w:rsidRPr="00931939" w:rsidRDefault="001860EB" w:rsidP="003B05BD">
      <w:pPr>
        <w:pStyle w:val="ListParagraph"/>
        <w:numPr>
          <w:ilvl w:val="0"/>
          <w:numId w:val="5"/>
        </w:numPr>
        <w:tabs>
          <w:tab w:val="left" w:pos="709"/>
        </w:tabs>
        <w:spacing w:before="60" w:after="60" w:line="264" w:lineRule="auto"/>
        <w:ind w:left="0" w:firstLine="567"/>
        <w:contextualSpacing w:val="0"/>
        <w:jc w:val="both"/>
        <w:rPr>
          <w:rFonts w:eastAsia="MS Mincho" w:cs="Times New Roman"/>
          <w:szCs w:val="28"/>
          <w:lang w:val="nl-NL"/>
        </w:rPr>
      </w:pPr>
      <w:r w:rsidRPr="00931939">
        <w:rPr>
          <w:rFonts w:eastAsia="MS Mincho" w:cs="Times New Roman"/>
          <w:szCs w:val="28"/>
          <w:lang w:val="nl-NL"/>
        </w:rPr>
        <w:t>Các tổ chức, cá nhân tham gia hoạt động điện lực;</w:t>
      </w:r>
    </w:p>
    <w:p w14:paraId="7DBD4ECE" w14:textId="49FE6D16" w:rsidR="00F9521C" w:rsidRPr="00931939" w:rsidRDefault="001860EB" w:rsidP="003B05BD">
      <w:pPr>
        <w:pStyle w:val="ListParagraph"/>
        <w:numPr>
          <w:ilvl w:val="0"/>
          <w:numId w:val="5"/>
        </w:numPr>
        <w:tabs>
          <w:tab w:val="left" w:pos="709"/>
        </w:tabs>
        <w:spacing w:before="60" w:after="60" w:line="264" w:lineRule="auto"/>
        <w:ind w:left="0" w:firstLine="567"/>
        <w:contextualSpacing w:val="0"/>
        <w:jc w:val="both"/>
        <w:rPr>
          <w:rFonts w:eastAsia="MS Mincho" w:cs="Times New Roman"/>
          <w:szCs w:val="28"/>
          <w:lang w:val="nl-NL"/>
        </w:rPr>
      </w:pPr>
      <w:r w:rsidRPr="00931939">
        <w:rPr>
          <w:rFonts w:eastAsia="MS Mincho" w:cs="Times New Roman"/>
          <w:szCs w:val="28"/>
          <w:lang w:val="nl-NL"/>
        </w:rPr>
        <w:t xml:space="preserve">Cơ quan quản lý nhà nước trong vai trò quản lý, điều hành các </w:t>
      </w:r>
      <w:r w:rsidRPr="00931939">
        <w:rPr>
          <w:rFonts w:eastAsia="Times New Roman" w:cs="Times New Roman"/>
          <w:szCs w:val="28"/>
          <w:lang w:val="nl-NL"/>
        </w:rPr>
        <w:t xml:space="preserve">hoạt động về điện lực.  </w:t>
      </w:r>
    </w:p>
    <w:p w14:paraId="6285431F" w14:textId="003EA12A" w:rsidR="00F9521C" w:rsidRPr="00931939" w:rsidRDefault="003B05BD" w:rsidP="003B05BD">
      <w:pPr>
        <w:pStyle w:val="Heading1"/>
        <w:tabs>
          <w:tab w:val="left" w:pos="993"/>
        </w:tabs>
        <w:spacing w:before="60" w:beforeAutospacing="0" w:after="60" w:afterAutospacing="0" w:line="264" w:lineRule="auto"/>
        <w:ind w:left="567"/>
        <w:jc w:val="both"/>
        <w:rPr>
          <w:sz w:val="28"/>
          <w:szCs w:val="28"/>
          <w:lang w:val="nl-NL"/>
        </w:rPr>
      </w:pPr>
      <w:r w:rsidRPr="00931939">
        <w:rPr>
          <w:sz w:val="28"/>
          <w:szCs w:val="28"/>
          <w:lang w:val="nl-NL"/>
        </w:rPr>
        <w:t>II. KẾT QUẢ RÀ SOÁT</w:t>
      </w:r>
    </w:p>
    <w:p w14:paraId="3BB81DB5" w14:textId="106398DA" w:rsidR="002339B0" w:rsidRPr="00931939" w:rsidRDefault="002339B0" w:rsidP="00211606">
      <w:pPr>
        <w:spacing w:before="60" w:after="60" w:line="264" w:lineRule="auto"/>
        <w:ind w:firstLine="567"/>
        <w:jc w:val="both"/>
        <w:rPr>
          <w:rFonts w:cs="Times New Roman"/>
          <w:b/>
          <w:bCs/>
          <w:szCs w:val="28"/>
          <w:shd w:val="clear" w:color="auto" w:fill="FFFFFF"/>
          <w:lang w:val="nl-NL"/>
        </w:rPr>
      </w:pPr>
      <w:r w:rsidRPr="00931939">
        <w:rPr>
          <w:rFonts w:cs="Times New Roman"/>
          <w:b/>
          <w:bCs/>
          <w:szCs w:val="28"/>
          <w:shd w:val="clear" w:color="auto" w:fill="FFFFFF"/>
          <w:lang w:val="nl-NL"/>
        </w:rPr>
        <w:t xml:space="preserve">1. Chủ trương, đường lối của Đảng có liên quan đến </w:t>
      </w:r>
      <w:r w:rsidR="00A16DB1" w:rsidRPr="00931939">
        <w:rPr>
          <w:rFonts w:cs="Times New Roman"/>
          <w:b/>
          <w:bCs/>
          <w:szCs w:val="28"/>
          <w:shd w:val="clear" w:color="auto" w:fill="FFFFFF"/>
          <w:lang w:val="nl-NL"/>
        </w:rPr>
        <w:t xml:space="preserve">dự thảo Nghị </w:t>
      </w:r>
      <w:r w:rsidR="00F35BC9" w:rsidRPr="00931939">
        <w:rPr>
          <w:rFonts w:cs="Times New Roman"/>
          <w:b/>
          <w:bCs/>
          <w:szCs w:val="28"/>
          <w:shd w:val="clear" w:color="auto" w:fill="FFFFFF"/>
          <w:lang w:val="nl-NL"/>
        </w:rPr>
        <w:t>định</w:t>
      </w:r>
    </w:p>
    <w:p w14:paraId="1C6B3634" w14:textId="2AF3FC30" w:rsidR="008E5C3A" w:rsidRPr="00931939" w:rsidRDefault="008E5C3A"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t xml:space="preserve">- Nghị quyết 70-NQ/TW đã </w:t>
      </w:r>
      <w:r w:rsidR="005E549C" w:rsidRPr="00931939">
        <w:rPr>
          <w:rFonts w:cs="Times New Roman"/>
          <w:szCs w:val="28"/>
          <w:shd w:val="clear" w:color="auto" w:fill="FFFFFF"/>
          <w:lang w:val="nl-NL"/>
        </w:rPr>
        <w:t>yêu cầu rà soát, tháo gỡ các điểm nghẽn về thể chế trong quy hoạch, cấp phép, huy động vốn, ... cho các dự án năng lượng; có cơ chế, chính sách đặc thù vượt trội để thu hút và triển khai các dự án năng lượng quan trọng, cấp bách của quốc gia.</w:t>
      </w:r>
    </w:p>
    <w:p w14:paraId="61BD3468" w14:textId="40D3AC0B" w:rsidR="008E5C3A" w:rsidRPr="00931939" w:rsidRDefault="008E5C3A"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t>- Kết luận số 36-KL/TW của Bộ Chính trị năm 2022 đã nhấn mạnh yêu cầu rà soát, hoàn thiện hệ thống pháp luật và cơ chế chính sách để thúc đẩy phát triển năng lượng, nhất là cơ chế giá điện, mua bán điện trực tiếp, cơ chế đặc thù cho dự án năng lượng trọng điểm.</w:t>
      </w:r>
    </w:p>
    <w:p w14:paraId="17F76137" w14:textId="6458116B" w:rsidR="008E5C3A" w:rsidRPr="00931939" w:rsidRDefault="008E5C3A"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t xml:space="preserve">- Nghị quyết số 29-NQ/TW </w:t>
      </w:r>
      <w:r w:rsidR="005B5BC5" w:rsidRPr="00931939">
        <w:rPr>
          <w:rFonts w:cs="Times New Roman"/>
          <w:szCs w:val="28"/>
          <w:shd w:val="clear" w:color="auto" w:fill="FFFFFF"/>
          <w:lang w:val="nl-NL"/>
        </w:rPr>
        <w:t xml:space="preserve">của Bộ Chính trị </w:t>
      </w:r>
      <w:r w:rsidRPr="00931939">
        <w:rPr>
          <w:rFonts w:cs="Times New Roman"/>
          <w:szCs w:val="28"/>
          <w:shd w:val="clear" w:color="auto" w:fill="FFFFFF"/>
          <w:lang w:val="nl-NL"/>
        </w:rPr>
        <w:t>về công nghiệp hoá, hiện đại hoá đến năm 2030, tầm nhìn 2045 đã xem năng lượng (đặc biệt là năng lượng sạch, năng lượng tái tạo) là một trong những ngành nền tảng, động lực cho công nghiệp hoá, hiện đại hoá.</w:t>
      </w:r>
    </w:p>
    <w:p w14:paraId="35739EE6" w14:textId="5002E2D3" w:rsidR="008E5C3A" w:rsidRPr="00931939" w:rsidRDefault="008E5C3A"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t>- Chủ trương phân cấp, phân quyền của Trung ương đã đặt ra yêu cầu hoàn thiện cơ chế để địa phương chủ động hơn trong triển khai dự án năng lượng.</w:t>
      </w:r>
    </w:p>
    <w:p w14:paraId="5B745471" w14:textId="7BFEBA16" w:rsidR="002339B0" w:rsidRPr="00931939" w:rsidRDefault="002339B0" w:rsidP="00211606">
      <w:pPr>
        <w:spacing w:before="60" w:after="60" w:line="264" w:lineRule="auto"/>
        <w:ind w:firstLine="567"/>
        <w:jc w:val="both"/>
        <w:rPr>
          <w:rFonts w:cs="Times New Roman"/>
          <w:b/>
          <w:bCs/>
          <w:szCs w:val="28"/>
          <w:shd w:val="clear" w:color="auto" w:fill="FFFFFF"/>
          <w:lang w:val="nl-NL"/>
        </w:rPr>
      </w:pPr>
      <w:r w:rsidRPr="00931939">
        <w:rPr>
          <w:rFonts w:cs="Times New Roman"/>
          <w:b/>
          <w:bCs/>
          <w:szCs w:val="28"/>
          <w:shd w:val="clear" w:color="auto" w:fill="FFFFFF"/>
          <w:lang w:val="nl-NL"/>
        </w:rPr>
        <w:t xml:space="preserve">2. Văn bản quy phạm pháp luật có liên quan đến </w:t>
      </w:r>
      <w:r w:rsidR="00A16DB1" w:rsidRPr="00931939">
        <w:rPr>
          <w:rFonts w:cs="Times New Roman"/>
          <w:b/>
          <w:bCs/>
          <w:szCs w:val="28"/>
          <w:shd w:val="clear" w:color="auto" w:fill="FFFFFF"/>
          <w:lang w:val="nl-NL"/>
        </w:rPr>
        <w:t xml:space="preserve">dự thảo Nghị </w:t>
      </w:r>
      <w:r w:rsidR="00F35BC9" w:rsidRPr="00931939">
        <w:rPr>
          <w:rFonts w:cs="Times New Roman"/>
          <w:b/>
          <w:bCs/>
          <w:szCs w:val="28"/>
          <w:shd w:val="clear" w:color="auto" w:fill="FFFFFF"/>
          <w:lang w:val="nl-NL"/>
        </w:rPr>
        <w:t>định</w:t>
      </w:r>
    </w:p>
    <w:p w14:paraId="2B93F738" w14:textId="0499C767" w:rsidR="00317864" w:rsidRPr="00931939" w:rsidRDefault="00317864" w:rsidP="00317864">
      <w:pPr>
        <w:tabs>
          <w:tab w:val="left" w:pos="993"/>
        </w:tabs>
        <w:spacing w:before="60" w:after="60" w:line="264" w:lineRule="auto"/>
        <w:ind w:firstLine="567"/>
        <w:jc w:val="both"/>
        <w:rPr>
          <w:rFonts w:cs="Times New Roman"/>
          <w:szCs w:val="28"/>
          <w:lang w:val="nl-NL"/>
        </w:rPr>
      </w:pPr>
      <w:r w:rsidRPr="00931939">
        <w:rPr>
          <w:rFonts w:cs="Times New Roman"/>
          <w:szCs w:val="28"/>
          <w:lang w:val="nl-NL"/>
        </w:rPr>
        <w:t xml:space="preserve">Tổng số văn bản quy phạm pháp luật được rà soát liên quan đến nội dung dự án </w:t>
      </w:r>
      <w:r w:rsidR="00CA422D" w:rsidRPr="00931939">
        <w:rPr>
          <w:rFonts w:cs="Times New Roman"/>
          <w:szCs w:val="28"/>
          <w:lang w:val="nl-NL"/>
        </w:rPr>
        <w:t>Nghị quyết của Quốc hội</w:t>
      </w:r>
      <w:r w:rsidRPr="00931939">
        <w:rPr>
          <w:rFonts w:cs="Times New Roman"/>
          <w:szCs w:val="28"/>
          <w:lang w:val="nl-NL"/>
        </w:rPr>
        <w:t xml:space="preserve"> là: </w:t>
      </w:r>
      <w:r w:rsidR="00E77558" w:rsidRPr="00931939">
        <w:rPr>
          <w:rFonts w:cs="Times New Roman"/>
          <w:szCs w:val="28"/>
          <w:lang w:val="nl-NL"/>
        </w:rPr>
        <w:t>22</w:t>
      </w:r>
      <w:r w:rsidRPr="00931939">
        <w:rPr>
          <w:rFonts w:cs="Times New Roman"/>
          <w:szCs w:val="28"/>
          <w:lang w:val="nl-NL"/>
        </w:rPr>
        <w:t xml:space="preserve"> văn bản gồm: </w:t>
      </w:r>
      <w:r w:rsidRPr="00931939">
        <w:rPr>
          <w:rFonts w:cs="Times New Roman"/>
          <w:szCs w:val="28"/>
          <w:lang w:val="vi-VN"/>
        </w:rPr>
        <w:t xml:space="preserve">Hiến pháp </w:t>
      </w:r>
      <w:r w:rsidRPr="00931939">
        <w:rPr>
          <w:rFonts w:cs="Times New Roman"/>
          <w:szCs w:val="28"/>
          <w:lang w:val="nl-NL"/>
        </w:rPr>
        <w:t xml:space="preserve">năm 2013; </w:t>
      </w:r>
      <w:r w:rsidR="00D17C57" w:rsidRPr="00931939">
        <w:rPr>
          <w:rFonts w:cs="Times New Roman"/>
          <w:szCs w:val="28"/>
          <w:lang w:val="nl-NL"/>
        </w:rPr>
        <w:t>08</w:t>
      </w:r>
      <w:r w:rsidRPr="00931939">
        <w:rPr>
          <w:rFonts w:cs="Times New Roman"/>
          <w:szCs w:val="28"/>
          <w:lang w:val="nl-NL"/>
        </w:rPr>
        <w:t xml:space="preserve"> Bộ luật, Luật; </w:t>
      </w:r>
      <w:r w:rsidR="00500288" w:rsidRPr="00931939">
        <w:rPr>
          <w:rFonts w:cs="Times New Roman"/>
          <w:szCs w:val="28"/>
          <w:lang w:val="nl-NL"/>
        </w:rPr>
        <w:t>0</w:t>
      </w:r>
      <w:r w:rsidR="006818D1" w:rsidRPr="00931939">
        <w:rPr>
          <w:rFonts w:cs="Times New Roman"/>
          <w:szCs w:val="28"/>
          <w:lang w:val="nl-NL"/>
        </w:rPr>
        <w:t>5</w:t>
      </w:r>
      <w:r w:rsidRPr="00931939">
        <w:rPr>
          <w:rFonts w:cs="Times New Roman"/>
          <w:szCs w:val="28"/>
          <w:lang w:val="nl-NL"/>
        </w:rPr>
        <w:t xml:space="preserve"> Nghị định của Chính phủ.</w:t>
      </w:r>
    </w:p>
    <w:p w14:paraId="667FF74F" w14:textId="1B0CB138" w:rsidR="00317864" w:rsidRPr="00931939" w:rsidRDefault="00317864" w:rsidP="00317864">
      <w:pPr>
        <w:pStyle w:val="ListParagraph"/>
        <w:tabs>
          <w:tab w:val="left" w:pos="851"/>
          <w:tab w:val="left" w:pos="1276"/>
        </w:tabs>
        <w:spacing w:before="60" w:after="60" w:line="264" w:lineRule="auto"/>
        <w:ind w:left="0" w:firstLine="567"/>
        <w:contextualSpacing w:val="0"/>
        <w:jc w:val="both"/>
        <w:rPr>
          <w:rFonts w:cs="Times New Roman"/>
          <w:szCs w:val="28"/>
          <w:lang w:val="nl-NL"/>
        </w:rPr>
      </w:pPr>
      <w:r w:rsidRPr="00931939">
        <w:rPr>
          <w:rFonts w:cs="Times New Roman"/>
          <w:szCs w:val="28"/>
          <w:lang w:val="nl-NL"/>
        </w:rPr>
        <w:t xml:space="preserve">Đồng thời, Bộ Công Thương đã rà soát các nội dung theo chỉ đạo tại Nghị quyết số </w:t>
      </w:r>
      <w:r w:rsidR="00915A40" w:rsidRPr="00931939">
        <w:rPr>
          <w:rFonts w:cs="Times New Roman"/>
          <w:szCs w:val="28"/>
          <w:shd w:val="clear" w:color="auto" w:fill="FFFFFF"/>
          <w:lang w:val="nl-NL"/>
        </w:rPr>
        <w:t xml:space="preserve">70-NQ/TW </w:t>
      </w:r>
      <w:r w:rsidRPr="00931939">
        <w:rPr>
          <w:rFonts w:cs="Times New Roman"/>
          <w:szCs w:val="28"/>
          <w:lang w:val="nl-NL"/>
        </w:rPr>
        <w:t xml:space="preserve">ngày </w:t>
      </w:r>
      <w:r w:rsidR="00915A40" w:rsidRPr="00931939">
        <w:rPr>
          <w:rFonts w:cs="Times New Roman"/>
          <w:szCs w:val="28"/>
          <w:lang w:val="nl-NL"/>
        </w:rPr>
        <w:t>20</w:t>
      </w:r>
      <w:r w:rsidRPr="00931939">
        <w:rPr>
          <w:rFonts w:cs="Times New Roman"/>
          <w:szCs w:val="28"/>
          <w:lang w:val="nl-NL"/>
        </w:rPr>
        <w:t xml:space="preserve"> tháng </w:t>
      </w:r>
      <w:r w:rsidR="00915A40" w:rsidRPr="00931939">
        <w:rPr>
          <w:rFonts w:cs="Times New Roman"/>
          <w:szCs w:val="28"/>
          <w:lang w:val="nl-NL"/>
        </w:rPr>
        <w:t>8</w:t>
      </w:r>
      <w:r w:rsidRPr="00931939">
        <w:rPr>
          <w:rFonts w:cs="Times New Roman"/>
          <w:szCs w:val="28"/>
          <w:lang w:val="nl-NL"/>
        </w:rPr>
        <w:t xml:space="preserve"> năm 202</w:t>
      </w:r>
      <w:r w:rsidR="00915A40" w:rsidRPr="00931939">
        <w:rPr>
          <w:rFonts w:cs="Times New Roman"/>
          <w:szCs w:val="28"/>
          <w:lang w:val="nl-NL"/>
        </w:rPr>
        <w:t>5</w:t>
      </w:r>
      <w:r w:rsidRPr="00931939">
        <w:rPr>
          <w:rFonts w:cs="Times New Roman"/>
          <w:szCs w:val="28"/>
          <w:lang w:val="nl-NL"/>
        </w:rPr>
        <w:t xml:space="preserve"> của Bộ Chính trị về </w:t>
      </w:r>
      <w:r w:rsidR="00915A40" w:rsidRPr="00931939">
        <w:rPr>
          <w:rFonts w:cs="Times New Roman"/>
          <w:szCs w:val="28"/>
          <w:lang w:val="nl-NL"/>
        </w:rPr>
        <w:t>bảo đảm an ninh</w:t>
      </w:r>
      <w:r w:rsidRPr="00931939">
        <w:rPr>
          <w:rFonts w:cs="Times New Roman"/>
          <w:szCs w:val="28"/>
          <w:lang w:val="nl-NL"/>
        </w:rPr>
        <w:t xml:space="preserve"> năng lượng quốc gia đến năm 2030, tầm nhìn đến năm 2045.</w:t>
      </w:r>
    </w:p>
    <w:p w14:paraId="3EA2C623" w14:textId="7EC26F7E" w:rsidR="002339B0" w:rsidRPr="00931939" w:rsidRDefault="002339B0" w:rsidP="00211606">
      <w:pPr>
        <w:spacing w:before="60" w:after="60" w:line="264" w:lineRule="auto"/>
        <w:ind w:firstLine="567"/>
        <w:jc w:val="both"/>
        <w:rPr>
          <w:rFonts w:cs="Times New Roman"/>
          <w:b/>
          <w:bCs/>
          <w:szCs w:val="28"/>
          <w:shd w:val="clear" w:color="auto" w:fill="FFFFFF"/>
          <w:lang w:val="nl-NL"/>
        </w:rPr>
      </w:pPr>
      <w:r w:rsidRPr="00931939">
        <w:rPr>
          <w:rFonts w:cs="Times New Roman"/>
          <w:b/>
          <w:bCs/>
          <w:szCs w:val="28"/>
          <w:shd w:val="clear" w:color="auto" w:fill="FFFFFF"/>
          <w:lang w:val="nl-NL"/>
        </w:rPr>
        <w:t xml:space="preserve">3. Điều ước quốc tế có liên quan đến </w:t>
      </w:r>
      <w:r w:rsidR="0045327C" w:rsidRPr="00931939">
        <w:rPr>
          <w:rFonts w:cs="Times New Roman"/>
          <w:b/>
          <w:bCs/>
          <w:szCs w:val="28"/>
          <w:shd w:val="clear" w:color="auto" w:fill="FFFFFF"/>
          <w:lang w:val="nl-NL"/>
        </w:rPr>
        <w:t xml:space="preserve">dự thảo Nghị </w:t>
      </w:r>
      <w:r w:rsidR="00FA0CA3" w:rsidRPr="00931939">
        <w:rPr>
          <w:rFonts w:cs="Times New Roman"/>
          <w:b/>
          <w:bCs/>
          <w:szCs w:val="28"/>
          <w:shd w:val="clear" w:color="auto" w:fill="FFFFFF"/>
          <w:lang w:val="nl-NL"/>
        </w:rPr>
        <w:t>định</w:t>
      </w:r>
    </w:p>
    <w:p w14:paraId="0597FC5E" w14:textId="744C3D0E" w:rsidR="002339B0" w:rsidRPr="00931939" w:rsidRDefault="002339B0"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lastRenderedPageBreak/>
        <w:t xml:space="preserve">- Tổng số điều ước quốc tế được rà soát liên quan đến </w:t>
      </w:r>
      <w:r w:rsidR="004C136D" w:rsidRPr="00931939">
        <w:rPr>
          <w:rFonts w:cs="Times New Roman"/>
          <w:szCs w:val="28"/>
          <w:shd w:val="clear" w:color="auto" w:fill="FFFFFF"/>
          <w:lang w:val="nl-NL"/>
        </w:rPr>
        <w:t xml:space="preserve">Nghị </w:t>
      </w:r>
      <w:r w:rsidR="006B3FA6" w:rsidRPr="00931939">
        <w:rPr>
          <w:rFonts w:cs="Times New Roman"/>
          <w:szCs w:val="28"/>
          <w:shd w:val="clear" w:color="auto" w:fill="FFFFFF"/>
          <w:lang w:val="nl-NL"/>
        </w:rPr>
        <w:t>định</w:t>
      </w:r>
      <w:r w:rsidRPr="00931939">
        <w:rPr>
          <w:rFonts w:cs="Times New Roman"/>
          <w:szCs w:val="28"/>
          <w:shd w:val="clear" w:color="auto" w:fill="FFFFFF"/>
          <w:lang w:val="nl-NL"/>
        </w:rPr>
        <w:t>: Qua rà soát đã xác định có</w:t>
      </w:r>
      <w:r w:rsidR="00E11D70" w:rsidRPr="00931939">
        <w:rPr>
          <w:rFonts w:cs="Times New Roman"/>
          <w:szCs w:val="28"/>
          <w:shd w:val="clear" w:color="auto" w:fill="FFFFFF"/>
          <w:lang w:val="nl-NL"/>
        </w:rPr>
        <w:t xml:space="preserve"> </w:t>
      </w:r>
      <w:r w:rsidR="00783DA8" w:rsidRPr="00931939">
        <w:rPr>
          <w:rFonts w:cs="Times New Roman"/>
          <w:szCs w:val="28"/>
          <w:shd w:val="clear" w:color="auto" w:fill="FFFFFF"/>
          <w:lang w:val="nl-NL"/>
        </w:rPr>
        <w:t>0</w:t>
      </w:r>
      <w:r w:rsidR="00AC553B" w:rsidRPr="00931939">
        <w:rPr>
          <w:rFonts w:cs="Times New Roman"/>
          <w:szCs w:val="28"/>
          <w:shd w:val="clear" w:color="auto" w:fill="FFFFFF"/>
          <w:lang w:val="nl-NL"/>
        </w:rPr>
        <w:t>5</w:t>
      </w:r>
      <w:r w:rsidR="00783DA8" w:rsidRPr="00931939">
        <w:rPr>
          <w:rFonts w:cs="Times New Roman"/>
          <w:szCs w:val="28"/>
          <w:shd w:val="clear" w:color="auto" w:fill="FFFFFF"/>
          <w:lang w:val="nl-NL"/>
        </w:rPr>
        <w:t xml:space="preserve"> </w:t>
      </w:r>
      <w:r w:rsidRPr="00931939">
        <w:rPr>
          <w:rFonts w:cs="Times New Roman"/>
          <w:szCs w:val="28"/>
          <w:shd w:val="clear" w:color="auto" w:fill="FFFFFF"/>
          <w:lang w:val="nl-NL"/>
        </w:rPr>
        <w:t xml:space="preserve">điều ước quốc tế liên quan đến dự án, dự thảo </w:t>
      </w:r>
      <w:r w:rsidR="00753DEF" w:rsidRPr="00931939">
        <w:rPr>
          <w:rFonts w:cs="Times New Roman"/>
          <w:szCs w:val="28"/>
          <w:shd w:val="clear" w:color="auto" w:fill="FFFFFF"/>
          <w:lang w:val="nl-NL"/>
        </w:rPr>
        <w:t xml:space="preserve">Nghị </w:t>
      </w:r>
      <w:r w:rsidR="006B3FA6" w:rsidRPr="00931939">
        <w:rPr>
          <w:rFonts w:cs="Times New Roman"/>
          <w:szCs w:val="28"/>
          <w:shd w:val="clear" w:color="auto" w:fill="FFFFFF"/>
          <w:lang w:val="nl-NL"/>
        </w:rPr>
        <w:t>định</w:t>
      </w:r>
      <w:r w:rsidRPr="00931939">
        <w:rPr>
          <w:rFonts w:cs="Times New Roman"/>
          <w:szCs w:val="28"/>
          <w:shd w:val="clear" w:color="auto" w:fill="FFFFFF"/>
          <w:lang w:val="nl-NL"/>
        </w:rPr>
        <w:t>.</w:t>
      </w:r>
    </w:p>
    <w:p w14:paraId="0B92473D" w14:textId="553EB715" w:rsidR="002339B0" w:rsidRPr="00931939" w:rsidRDefault="002339B0" w:rsidP="00211606">
      <w:pPr>
        <w:spacing w:before="60" w:after="60" w:line="264" w:lineRule="auto"/>
        <w:ind w:firstLine="567"/>
        <w:jc w:val="both"/>
        <w:rPr>
          <w:rFonts w:cs="Times New Roman"/>
          <w:szCs w:val="28"/>
          <w:shd w:val="clear" w:color="auto" w:fill="FFFFFF"/>
          <w:lang w:val="nl-NL"/>
        </w:rPr>
      </w:pPr>
      <w:r w:rsidRPr="00931939">
        <w:rPr>
          <w:rFonts w:cs="Times New Roman"/>
          <w:szCs w:val="28"/>
          <w:shd w:val="clear" w:color="auto" w:fill="FFFFFF"/>
          <w:lang w:val="nl-NL"/>
        </w:rPr>
        <w:t xml:space="preserve">- </w:t>
      </w:r>
      <w:r w:rsidR="00AD20DA" w:rsidRPr="00931939">
        <w:rPr>
          <w:rFonts w:cs="Times New Roman"/>
          <w:szCs w:val="28"/>
          <w:shd w:val="clear" w:color="auto" w:fill="FFFFFF"/>
          <w:lang w:val="nl-NL"/>
        </w:rPr>
        <w:t xml:space="preserve">Dự thảo Nghị </w:t>
      </w:r>
      <w:r w:rsidR="004A437F" w:rsidRPr="00931939">
        <w:rPr>
          <w:rFonts w:cs="Times New Roman"/>
          <w:szCs w:val="28"/>
          <w:shd w:val="clear" w:color="auto" w:fill="FFFFFF"/>
          <w:lang w:val="nl-NL"/>
        </w:rPr>
        <w:t>định</w:t>
      </w:r>
      <w:r w:rsidR="00AD20DA" w:rsidRPr="00931939">
        <w:rPr>
          <w:rFonts w:cs="Times New Roman"/>
          <w:szCs w:val="28"/>
          <w:shd w:val="clear" w:color="auto" w:fill="FFFFFF"/>
          <w:lang w:val="nl-NL"/>
        </w:rPr>
        <w:t xml:space="preserve"> bảo đảm phù hợp và tương thích </w:t>
      </w:r>
      <w:r w:rsidRPr="00931939">
        <w:rPr>
          <w:rFonts w:cs="Times New Roman"/>
          <w:szCs w:val="28"/>
          <w:shd w:val="clear" w:color="auto" w:fill="FFFFFF"/>
          <w:lang w:val="nl-NL"/>
        </w:rPr>
        <w:t>với điều ước quốc tế có liên quan mà Việt Nam là thành viên.</w:t>
      </w:r>
    </w:p>
    <w:p w14:paraId="533912A9" w14:textId="05C3B0CD" w:rsidR="002339B0" w:rsidRPr="00931939" w:rsidRDefault="002339B0" w:rsidP="00211606">
      <w:pPr>
        <w:spacing w:before="60" w:after="60" w:line="264" w:lineRule="auto"/>
        <w:ind w:firstLine="567"/>
        <w:jc w:val="both"/>
        <w:rPr>
          <w:rFonts w:cs="Times New Roman"/>
          <w:b/>
          <w:bCs/>
          <w:szCs w:val="28"/>
          <w:shd w:val="clear" w:color="auto" w:fill="FFFFFF"/>
          <w:lang w:val="nl-NL"/>
        </w:rPr>
      </w:pPr>
      <w:r w:rsidRPr="00931939">
        <w:rPr>
          <w:rFonts w:cs="Times New Roman"/>
          <w:b/>
          <w:bCs/>
          <w:szCs w:val="28"/>
          <w:shd w:val="clear" w:color="auto" w:fill="FFFFFF"/>
          <w:lang w:val="nl-NL"/>
        </w:rPr>
        <w:t>4. Phụ lục</w:t>
      </w:r>
    </w:p>
    <w:bookmarkEnd w:id="2"/>
    <w:bookmarkEnd w:id="3"/>
    <w:p w14:paraId="3CF86210" w14:textId="577D6E32" w:rsidR="00F9521C" w:rsidRPr="00931939" w:rsidRDefault="001860EB" w:rsidP="00211606">
      <w:pPr>
        <w:spacing w:before="60" w:after="60" w:line="264" w:lineRule="auto"/>
        <w:ind w:firstLine="567"/>
        <w:jc w:val="both"/>
        <w:rPr>
          <w:rFonts w:cs="Times New Roman"/>
          <w:szCs w:val="28"/>
          <w:lang w:val="vi-VN"/>
        </w:rPr>
      </w:pPr>
      <w:r w:rsidRPr="00931939">
        <w:rPr>
          <w:rFonts w:cs="Times New Roman"/>
          <w:szCs w:val="28"/>
          <w:lang w:val="vi-VN"/>
        </w:rPr>
        <w:t xml:space="preserve">Trên đây là Báo cáo rà soát các quy định của pháp luật hiện hành liên quan đến nội dung </w:t>
      </w:r>
      <w:r w:rsidR="00A96231" w:rsidRPr="00931939">
        <w:rPr>
          <w:rFonts w:cs="Times New Roman"/>
          <w:szCs w:val="28"/>
        </w:rPr>
        <w:t xml:space="preserve">Nghị </w:t>
      </w:r>
      <w:r w:rsidR="00943A3E" w:rsidRPr="00931939">
        <w:rPr>
          <w:rFonts w:cs="Times New Roman"/>
          <w:szCs w:val="28"/>
        </w:rPr>
        <w:t>định</w:t>
      </w:r>
      <w:r w:rsidRPr="00931939">
        <w:rPr>
          <w:rFonts w:cs="Times New Roman"/>
          <w:szCs w:val="28"/>
          <w:lang w:val="vi-VN"/>
        </w:rPr>
        <w:t xml:space="preserve"> và các đề xuất cho dự án </w:t>
      </w:r>
      <w:r w:rsidR="00A96231" w:rsidRPr="00931939">
        <w:rPr>
          <w:rFonts w:cs="Times New Roman"/>
          <w:szCs w:val="28"/>
        </w:rPr>
        <w:t xml:space="preserve">Nghị </w:t>
      </w:r>
      <w:r w:rsidR="00943A3E" w:rsidRPr="00931939">
        <w:rPr>
          <w:rFonts w:cs="Times New Roman"/>
          <w:szCs w:val="28"/>
        </w:rPr>
        <w:t>định của Chính phủ</w:t>
      </w:r>
      <w:r w:rsidRPr="00931939">
        <w:rPr>
          <w:rFonts w:cs="Times New Roman"/>
          <w:szCs w:val="28"/>
          <w:lang w:val="vi-VN"/>
        </w:rPr>
        <w:t xml:space="preserve">. </w:t>
      </w:r>
    </w:p>
    <w:p w14:paraId="1FD6C520" w14:textId="77777777" w:rsidR="00F9521C" w:rsidRPr="00931939" w:rsidRDefault="001860EB" w:rsidP="00211606">
      <w:pPr>
        <w:shd w:val="clear" w:color="auto" w:fill="FFFFFF"/>
        <w:spacing w:before="60" w:after="60" w:line="264" w:lineRule="auto"/>
        <w:ind w:firstLine="567"/>
        <w:jc w:val="both"/>
        <w:rPr>
          <w:rFonts w:cs="Times New Roman"/>
          <w:szCs w:val="28"/>
          <w:lang w:val="vi-VN"/>
        </w:rPr>
      </w:pPr>
      <w:r w:rsidRPr="00931939">
        <w:rPr>
          <w:rFonts w:cs="Times New Roman"/>
          <w:szCs w:val="28"/>
          <w:lang w:val="vi-VN"/>
        </w:rPr>
        <w:t>Bộ Công Thương kính báo cáo./.</w:t>
      </w:r>
    </w:p>
    <w:tbl>
      <w:tblPr>
        <w:tblW w:w="5000" w:type="pct"/>
        <w:tblLook w:val="04A0" w:firstRow="1" w:lastRow="0" w:firstColumn="1" w:lastColumn="0" w:noHBand="0" w:noVBand="1"/>
      </w:tblPr>
      <w:tblGrid>
        <w:gridCol w:w="4521"/>
        <w:gridCol w:w="4551"/>
      </w:tblGrid>
      <w:tr w:rsidR="00F9521C" w:rsidRPr="00931939" w14:paraId="5AC50E5C" w14:textId="77777777">
        <w:tc>
          <w:tcPr>
            <w:tcW w:w="2492" w:type="pct"/>
          </w:tcPr>
          <w:p w14:paraId="137165F5" w14:textId="77777777" w:rsidR="00F9521C" w:rsidRPr="00931939" w:rsidRDefault="00F9521C">
            <w:pPr>
              <w:pStyle w:val="BodyTextIndent"/>
              <w:widowControl w:val="0"/>
              <w:rPr>
                <w:rFonts w:cs="Times New Roman"/>
                <w:b/>
                <w:i/>
                <w:sz w:val="4"/>
                <w:szCs w:val="24"/>
                <w:lang w:val="vi-VN"/>
              </w:rPr>
            </w:pPr>
          </w:p>
          <w:p w14:paraId="00611C4F" w14:textId="77777777" w:rsidR="00F9521C" w:rsidRPr="00931939" w:rsidRDefault="001860EB">
            <w:pPr>
              <w:pStyle w:val="BodyTextIndent"/>
              <w:widowControl w:val="0"/>
              <w:spacing w:after="0" w:line="240" w:lineRule="auto"/>
              <w:ind w:left="-108"/>
              <w:rPr>
                <w:rFonts w:cs="Times New Roman"/>
                <w:b/>
                <w:i/>
                <w:sz w:val="24"/>
                <w:szCs w:val="24"/>
                <w:lang w:val="vi-VN"/>
              </w:rPr>
            </w:pPr>
            <w:r w:rsidRPr="00931939">
              <w:rPr>
                <w:rFonts w:cs="Times New Roman"/>
                <w:b/>
                <w:i/>
                <w:sz w:val="24"/>
                <w:szCs w:val="24"/>
                <w:lang w:val="vi-VN"/>
              </w:rPr>
              <w:t>Nơi nhận:</w:t>
            </w:r>
          </w:p>
          <w:p w14:paraId="2887ADEF" w14:textId="77777777"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Như trên;</w:t>
            </w:r>
          </w:p>
          <w:p w14:paraId="78287C3E" w14:textId="774C5F98"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Thủ tướng Chính phủ (để b</w:t>
            </w:r>
            <w:r w:rsidR="00C901D9" w:rsidRPr="00931939">
              <w:rPr>
                <w:rFonts w:cs="Times New Roman"/>
                <w:sz w:val="22"/>
                <w:szCs w:val="24"/>
                <w:lang w:val="eu-ES"/>
              </w:rPr>
              <w:t>/c</w:t>
            </w:r>
            <w:r w:rsidRPr="00931939">
              <w:rPr>
                <w:rFonts w:cs="Times New Roman"/>
                <w:sz w:val="22"/>
                <w:szCs w:val="24"/>
                <w:lang w:val="eu-ES"/>
              </w:rPr>
              <w:t>);</w:t>
            </w:r>
          </w:p>
          <w:p w14:paraId="44335D9F" w14:textId="5C0CF94A"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Các Phó Thủ tướng Chính phủ (để b</w:t>
            </w:r>
            <w:r w:rsidR="00C901D9" w:rsidRPr="00931939">
              <w:rPr>
                <w:rFonts w:cs="Times New Roman"/>
                <w:sz w:val="22"/>
                <w:szCs w:val="24"/>
                <w:lang w:val="eu-ES"/>
              </w:rPr>
              <w:t>/c</w:t>
            </w:r>
            <w:r w:rsidRPr="00931939">
              <w:rPr>
                <w:rFonts w:cs="Times New Roman"/>
                <w:sz w:val="22"/>
                <w:szCs w:val="24"/>
                <w:lang w:val="eu-ES"/>
              </w:rPr>
              <w:t>);</w:t>
            </w:r>
          </w:p>
          <w:p w14:paraId="019B636C" w14:textId="77777777"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Các thành viên Chính phủ;</w:t>
            </w:r>
          </w:p>
          <w:p w14:paraId="4141E4BA" w14:textId="77777777"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Văn phòng Chính phủ;</w:t>
            </w:r>
          </w:p>
          <w:p w14:paraId="17F079C8" w14:textId="77777777"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Bộ Tư pháp;</w:t>
            </w:r>
          </w:p>
          <w:p w14:paraId="28C331C8" w14:textId="535FC3B7" w:rsidR="00D337E1" w:rsidRPr="00931939" w:rsidRDefault="00D337E1">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Bộ trưởng (để b/c);</w:t>
            </w:r>
          </w:p>
          <w:p w14:paraId="7F7CB429" w14:textId="09FC7ABB" w:rsidR="00F9521C" w:rsidRPr="00931939" w:rsidRDefault="001860EB">
            <w:pPr>
              <w:pStyle w:val="BodyTextIndent"/>
              <w:widowControl w:val="0"/>
              <w:spacing w:after="0" w:line="240" w:lineRule="auto"/>
              <w:ind w:left="-108"/>
              <w:rPr>
                <w:rFonts w:cs="Times New Roman"/>
                <w:sz w:val="22"/>
                <w:szCs w:val="24"/>
                <w:lang w:val="eu-ES"/>
              </w:rPr>
            </w:pPr>
            <w:r w:rsidRPr="00931939">
              <w:rPr>
                <w:rFonts w:cs="Times New Roman"/>
                <w:sz w:val="22"/>
                <w:szCs w:val="24"/>
                <w:lang w:val="eu-ES"/>
              </w:rPr>
              <w:t>- Cục ĐL;</w:t>
            </w:r>
          </w:p>
          <w:p w14:paraId="6E18862C" w14:textId="74405DB9" w:rsidR="00F9521C" w:rsidRPr="00931939" w:rsidRDefault="001860EB">
            <w:pPr>
              <w:pStyle w:val="BodyTextIndent"/>
              <w:widowControl w:val="0"/>
              <w:spacing w:after="0" w:line="240" w:lineRule="auto"/>
              <w:ind w:left="-108"/>
              <w:rPr>
                <w:rFonts w:cs="Times New Roman"/>
                <w:szCs w:val="28"/>
                <w:lang w:val="eu-ES"/>
              </w:rPr>
            </w:pPr>
            <w:r w:rsidRPr="00931939">
              <w:rPr>
                <w:rFonts w:cs="Times New Roman"/>
                <w:sz w:val="22"/>
                <w:szCs w:val="24"/>
                <w:lang w:val="eu-ES"/>
              </w:rPr>
              <w:t>- Lưu: VT, ĐL.</w:t>
            </w:r>
          </w:p>
        </w:tc>
        <w:tc>
          <w:tcPr>
            <w:tcW w:w="2508" w:type="pct"/>
          </w:tcPr>
          <w:p w14:paraId="3DE03ACC" w14:textId="259596DD" w:rsidR="00F9521C" w:rsidRPr="00931939" w:rsidRDefault="00CA58D4" w:rsidP="00CA58D4">
            <w:pPr>
              <w:widowControl w:val="0"/>
              <w:spacing w:after="0" w:line="240" w:lineRule="auto"/>
              <w:jc w:val="center"/>
              <w:rPr>
                <w:rFonts w:eastAsia="Times New Roman" w:cs="Times New Roman"/>
                <w:b/>
                <w:szCs w:val="28"/>
                <w:lang w:val="eu-ES"/>
              </w:rPr>
            </w:pPr>
            <w:r w:rsidRPr="00931939">
              <w:rPr>
                <w:rFonts w:eastAsia="Times New Roman" w:cs="Times New Roman"/>
                <w:b/>
                <w:szCs w:val="28"/>
                <w:lang w:val="eu-ES"/>
              </w:rPr>
              <w:t xml:space="preserve">KT. </w:t>
            </w:r>
            <w:r w:rsidR="001860EB" w:rsidRPr="00931939">
              <w:rPr>
                <w:rFonts w:eastAsia="Times New Roman" w:cs="Times New Roman"/>
                <w:b/>
                <w:szCs w:val="28"/>
                <w:lang w:val="eu-ES"/>
              </w:rPr>
              <w:t>BỘ TRƯỞNG</w:t>
            </w:r>
          </w:p>
          <w:p w14:paraId="5E3C84D7" w14:textId="155B1CAA" w:rsidR="00F9521C" w:rsidRPr="00931939" w:rsidRDefault="00CA58D4" w:rsidP="00CA58D4">
            <w:pPr>
              <w:widowControl w:val="0"/>
              <w:spacing w:after="0" w:line="240" w:lineRule="auto"/>
              <w:jc w:val="center"/>
              <w:rPr>
                <w:rFonts w:eastAsia="Times New Roman" w:cs="Times New Roman"/>
                <w:i/>
                <w:szCs w:val="28"/>
                <w:lang w:val="eu-ES"/>
              </w:rPr>
            </w:pPr>
            <w:r w:rsidRPr="00931939">
              <w:rPr>
                <w:rFonts w:eastAsia="Times New Roman" w:cs="Times New Roman"/>
                <w:b/>
                <w:szCs w:val="28"/>
                <w:lang w:val="eu-ES"/>
              </w:rPr>
              <w:t>THỨ TRƯỞNG</w:t>
            </w:r>
            <w:r w:rsidR="001860EB" w:rsidRPr="00931939">
              <w:rPr>
                <w:rFonts w:eastAsia="Times New Roman" w:cs="Times New Roman"/>
                <w:b/>
                <w:szCs w:val="28"/>
                <w:lang w:val="eu-ES"/>
              </w:rPr>
              <w:br/>
            </w:r>
          </w:p>
          <w:p w14:paraId="54EAE59B" w14:textId="77777777" w:rsidR="00F9521C" w:rsidRPr="00931939" w:rsidRDefault="00F9521C">
            <w:pPr>
              <w:widowControl w:val="0"/>
              <w:spacing w:after="0"/>
              <w:jc w:val="center"/>
              <w:rPr>
                <w:rFonts w:eastAsia="Times New Roman" w:cs="Times New Roman"/>
                <w:b/>
                <w:szCs w:val="28"/>
                <w:lang w:val="eu-ES"/>
              </w:rPr>
            </w:pPr>
          </w:p>
          <w:p w14:paraId="3BD2265E" w14:textId="77777777" w:rsidR="00624F94" w:rsidRPr="00931939" w:rsidRDefault="00624F94">
            <w:pPr>
              <w:widowControl w:val="0"/>
              <w:spacing w:after="0"/>
              <w:jc w:val="center"/>
              <w:rPr>
                <w:rFonts w:eastAsia="Times New Roman" w:cs="Times New Roman"/>
                <w:b/>
                <w:szCs w:val="28"/>
                <w:lang w:val="eu-ES"/>
              </w:rPr>
            </w:pPr>
          </w:p>
          <w:p w14:paraId="48114D08" w14:textId="2284C6EF" w:rsidR="00F9521C" w:rsidRPr="00931939" w:rsidRDefault="001860EB" w:rsidP="002A55D0">
            <w:pPr>
              <w:widowControl w:val="0"/>
              <w:spacing w:before="600" w:after="0"/>
              <w:jc w:val="center"/>
              <w:rPr>
                <w:rFonts w:eastAsia="Times New Roman" w:cs="Times New Roman"/>
                <w:b/>
                <w:szCs w:val="28"/>
                <w:lang w:val="eu-ES"/>
              </w:rPr>
            </w:pPr>
            <w:r w:rsidRPr="00931939">
              <w:rPr>
                <w:rFonts w:eastAsia="Times New Roman" w:cs="Times New Roman"/>
                <w:b/>
                <w:szCs w:val="28"/>
                <w:lang w:val="eu-ES"/>
              </w:rPr>
              <w:t xml:space="preserve">Nguyễn </w:t>
            </w:r>
            <w:r w:rsidR="00CA58D4" w:rsidRPr="00931939">
              <w:rPr>
                <w:rFonts w:eastAsia="Times New Roman" w:cs="Times New Roman"/>
                <w:b/>
                <w:szCs w:val="28"/>
                <w:lang w:val="eu-ES"/>
              </w:rPr>
              <w:t>Hoàng Long</w:t>
            </w:r>
          </w:p>
        </w:tc>
      </w:tr>
    </w:tbl>
    <w:p w14:paraId="54C4D32F" w14:textId="77777777" w:rsidR="00F9521C" w:rsidRPr="00931939" w:rsidRDefault="00F9521C">
      <w:pPr>
        <w:pStyle w:val="Heading1"/>
        <w:jc w:val="both"/>
        <w:rPr>
          <w:sz w:val="28"/>
          <w:szCs w:val="28"/>
          <w:lang w:val="vi-VN"/>
        </w:rPr>
      </w:pPr>
    </w:p>
    <w:p w14:paraId="40C3C9C7" w14:textId="77777777" w:rsidR="00F9521C" w:rsidRPr="00931939" w:rsidRDefault="00F9521C">
      <w:pPr>
        <w:rPr>
          <w:rFonts w:cs="Times New Roman"/>
          <w:lang w:val="eu-ES"/>
        </w:rPr>
        <w:sectPr w:rsidR="00F9521C" w:rsidRPr="00931939" w:rsidSect="00F23D68">
          <w:headerReference w:type="default" r:id="rId9"/>
          <w:footerReference w:type="default" r:id="rId10"/>
          <w:headerReference w:type="first" r:id="rId11"/>
          <w:pgSz w:w="11907" w:h="16840" w:code="9"/>
          <w:pgMar w:top="1134" w:right="1134" w:bottom="1134" w:left="1701" w:header="567" w:footer="567" w:gutter="0"/>
          <w:cols w:space="720"/>
          <w:titlePg/>
          <w:docGrid w:linePitch="381"/>
        </w:sectPr>
      </w:pPr>
    </w:p>
    <w:p w14:paraId="1947C2DC" w14:textId="1055F56A" w:rsidR="00CF5357" w:rsidRPr="00931939" w:rsidRDefault="00CF5357" w:rsidP="00CF5357">
      <w:pPr>
        <w:spacing w:after="0"/>
        <w:jc w:val="center"/>
        <w:rPr>
          <w:rFonts w:cs="Times New Roman"/>
          <w:b/>
          <w:lang w:val="eu-ES"/>
        </w:rPr>
      </w:pPr>
      <w:r w:rsidRPr="00931939">
        <w:rPr>
          <w:rFonts w:cs="Times New Roman"/>
          <w:b/>
          <w:lang w:val="eu-ES"/>
        </w:rPr>
        <w:lastRenderedPageBreak/>
        <w:t>Phụ lục</w:t>
      </w:r>
      <w:r w:rsidR="003C34FF" w:rsidRPr="00931939">
        <w:rPr>
          <w:rFonts w:cs="Times New Roman"/>
          <w:b/>
          <w:lang w:val="eu-ES"/>
        </w:rPr>
        <w:t>:</w:t>
      </w:r>
    </w:p>
    <w:p w14:paraId="1C5C2E33" w14:textId="77777777" w:rsidR="003C34FF" w:rsidRPr="00931939" w:rsidRDefault="003C34FF" w:rsidP="003C34FF">
      <w:pPr>
        <w:spacing w:after="0"/>
        <w:jc w:val="center"/>
        <w:rPr>
          <w:rFonts w:cs="Times New Roman"/>
          <w:b/>
          <w:lang w:val="eu-ES"/>
        </w:rPr>
      </w:pPr>
      <w:r w:rsidRPr="00931939">
        <w:rPr>
          <w:rFonts w:cs="Times New Roman"/>
          <w:b/>
          <w:lang w:val="eu-ES"/>
        </w:rPr>
        <w:t xml:space="preserve">CHỦ TRƯƠNG, ĐƯỜNG LỐI CỦA ĐẢNG VÀ VĂN BẢN QUY PHẠM PHÁP LUẬT, ĐIỀU ƯỚC QUỐC TẾ </w:t>
      </w:r>
    </w:p>
    <w:p w14:paraId="752BA632" w14:textId="4C4C0B59" w:rsidR="003C34FF" w:rsidRPr="00931939" w:rsidRDefault="003C34FF" w:rsidP="003C34FF">
      <w:pPr>
        <w:spacing w:after="0"/>
        <w:jc w:val="center"/>
        <w:rPr>
          <w:rFonts w:cs="Times New Roman"/>
          <w:b/>
          <w:lang w:val="eu-ES"/>
        </w:rPr>
      </w:pPr>
      <w:r w:rsidRPr="00931939">
        <w:rPr>
          <w:rFonts w:cs="Times New Roman"/>
          <w:b/>
          <w:lang w:val="eu-ES"/>
        </w:rPr>
        <w:t>CÓ LIÊN QUAN ĐẾN NGHỊ ĐỊNH CỦA CHÍNH PHỦ</w:t>
      </w:r>
    </w:p>
    <w:p w14:paraId="22C6068C" w14:textId="637822C8" w:rsidR="003C34FF" w:rsidRPr="00931939" w:rsidRDefault="003C34FF" w:rsidP="00AF37D7">
      <w:pPr>
        <w:spacing w:after="0"/>
        <w:jc w:val="center"/>
        <w:rPr>
          <w:rFonts w:cs="Times New Roman"/>
          <w:i/>
          <w:lang w:val="eu-ES"/>
        </w:rPr>
      </w:pPr>
      <w:r w:rsidRPr="00931939">
        <w:rPr>
          <w:rFonts w:cs="Times New Roman"/>
          <w:i/>
          <w:lang w:val="eu-ES"/>
        </w:rPr>
        <w:t>(Ban hành kèm theo Báo cáo số            /BCT-ĐL ngày      tháng 12 năm 2025 của Bộ Công Thương)</w:t>
      </w:r>
    </w:p>
    <w:p w14:paraId="2FE5A86B" w14:textId="27F82EBE" w:rsidR="00CF5357" w:rsidRPr="00931939" w:rsidRDefault="00CF5357" w:rsidP="00CF5357">
      <w:pPr>
        <w:spacing w:after="0"/>
        <w:rPr>
          <w:rFonts w:cs="Times New Roman"/>
          <w:b/>
          <w:lang w:val="eu-ES"/>
        </w:rPr>
      </w:pPr>
      <w:r w:rsidRPr="00931939">
        <w:rPr>
          <w:rFonts w:cs="Times New Roman"/>
          <w:b/>
          <w:lang w:val="eu-ES"/>
        </w:rPr>
        <w:t xml:space="preserve">1. Chủ trương, đường lối của Đảng có liên quan đến </w:t>
      </w:r>
      <w:r w:rsidR="00F87E28" w:rsidRPr="00931939">
        <w:rPr>
          <w:rFonts w:cs="Times New Roman"/>
          <w:b/>
          <w:lang w:val="eu-ES"/>
        </w:rPr>
        <w:t>Nghị định</w:t>
      </w:r>
    </w:p>
    <w:tbl>
      <w:tblPr>
        <w:tblStyle w:val="TableGrid"/>
        <w:tblW w:w="0" w:type="auto"/>
        <w:tblLook w:val="04A0" w:firstRow="1" w:lastRow="0" w:firstColumn="1" w:lastColumn="0" w:noHBand="0" w:noVBand="1"/>
      </w:tblPr>
      <w:tblGrid>
        <w:gridCol w:w="3640"/>
        <w:gridCol w:w="3640"/>
        <w:gridCol w:w="3641"/>
        <w:gridCol w:w="3641"/>
      </w:tblGrid>
      <w:tr w:rsidR="00931939" w:rsidRPr="00931939" w14:paraId="11B493C4" w14:textId="77777777" w:rsidTr="003F5D7E">
        <w:tc>
          <w:tcPr>
            <w:tcW w:w="3640" w:type="dxa"/>
            <w:vAlign w:val="center"/>
          </w:tcPr>
          <w:p w14:paraId="2A83B71C" w14:textId="7AE5F03F" w:rsidR="002E0D9B" w:rsidRPr="00931939" w:rsidRDefault="002E0D9B" w:rsidP="002E0D9B">
            <w:pPr>
              <w:spacing w:after="0"/>
              <w:jc w:val="center"/>
              <w:rPr>
                <w:rFonts w:cs="Times New Roman"/>
                <w:b/>
                <w:lang w:val="eu-ES"/>
              </w:rPr>
            </w:pPr>
            <w:r w:rsidRPr="00931939">
              <w:rPr>
                <w:rFonts w:eastAsia="Times New Roman"/>
                <w:b/>
                <w:bCs/>
                <w:sz w:val="26"/>
                <w:szCs w:val="26"/>
                <w:lang w:val="vi-VN"/>
              </w:rPr>
              <w:t>CHÍNH SÁCH/ QUY ĐỊNH CỦA DỰ THẢO VĂN BẢN</w:t>
            </w:r>
          </w:p>
        </w:tc>
        <w:tc>
          <w:tcPr>
            <w:tcW w:w="3640" w:type="dxa"/>
            <w:vAlign w:val="center"/>
          </w:tcPr>
          <w:p w14:paraId="1A147435" w14:textId="623E9EEA" w:rsidR="002E0D9B" w:rsidRPr="00931939" w:rsidRDefault="002E0D9B" w:rsidP="002E0D9B">
            <w:pPr>
              <w:spacing w:after="0"/>
              <w:jc w:val="center"/>
              <w:rPr>
                <w:rFonts w:cs="Times New Roman"/>
                <w:b/>
                <w:lang w:val="eu-ES"/>
              </w:rPr>
            </w:pPr>
            <w:r w:rsidRPr="00931939">
              <w:rPr>
                <w:rFonts w:eastAsia="Times New Roman"/>
                <w:b/>
                <w:bCs/>
                <w:sz w:val="26"/>
                <w:szCs w:val="26"/>
                <w:lang w:val="vi-VN"/>
              </w:rPr>
              <w:t>CHỦ TRƯƠNG, ĐƯỜNG L</w:t>
            </w:r>
            <w:r w:rsidRPr="00931939">
              <w:rPr>
                <w:rFonts w:eastAsia="Times New Roman"/>
                <w:b/>
                <w:bCs/>
                <w:sz w:val="26"/>
                <w:szCs w:val="26"/>
              </w:rPr>
              <w:t>Ố</w:t>
            </w:r>
            <w:r w:rsidRPr="00931939">
              <w:rPr>
                <w:rFonts w:eastAsia="Times New Roman"/>
                <w:b/>
                <w:bCs/>
                <w:sz w:val="26"/>
                <w:szCs w:val="26"/>
                <w:lang w:val="vi-VN"/>
              </w:rPr>
              <w:t>I CỦA ĐẢNG</w:t>
            </w:r>
          </w:p>
        </w:tc>
        <w:tc>
          <w:tcPr>
            <w:tcW w:w="3641" w:type="dxa"/>
            <w:vAlign w:val="center"/>
          </w:tcPr>
          <w:p w14:paraId="1DBAD03A" w14:textId="176364EE" w:rsidR="002E0D9B" w:rsidRPr="00931939" w:rsidRDefault="002E0D9B" w:rsidP="002E0D9B">
            <w:pPr>
              <w:spacing w:after="0"/>
              <w:jc w:val="center"/>
              <w:rPr>
                <w:rFonts w:cs="Times New Roman"/>
                <w:b/>
                <w:lang w:val="eu-ES"/>
              </w:rPr>
            </w:pPr>
            <w:r w:rsidRPr="00931939">
              <w:rPr>
                <w:rFonts w:eastAsia="Times New Roman"/>
                <w:b/>
                <w:bCs/>
                <w:sz w:val="26"/>
                <w:szCs w:val="26"/>
                <w:lang w:val="vi-VN"/>
              </w:rPr>
              <w:t>Đ</w:t>
            </w:r>
            <w:r w:rsidRPr="00931939">
              <w:rPr>
                <w:rFonts w:eastAsia="Times New Roman"/>
                <w:b/>
                <w:bCs/>
                <w:sz w:val="26"/>
                <w:szCs w:val="26"/>
              </w:rPr>
              <w:t>Á</w:t>
            </w:r>
            <w:r w:rsidRPr="00931939">
              <w:rPr>
                <w:rFonts w:eastAsia="Times New Roman"/>
                <w:b/>
                <w:bCs/>
                <w:sz w:val="26"/>
                <w:szCs w:val="26"/>
                <w:lang w:val="vi-VN"/>
              </w:rPr>
              <w:t>NH GI</w:t>
            </w:r>
            <w:r w:rsidRPr="00931939">
              <w:rPr>
                <w:rFonts w:eastAsia="Times New Roman"/>
                <w:b/>
                <w:bCs/>
                <w:sz w:val="26"/>
                <w:szCs w:val="26"/>
              </w:rPr>
              <w:t>Á</w:t>
            </w:r>
            <w:r w:rsidRPr="00931939">
              <w:rPr>
                <w:rFonts w:eastAsia="Times New Roman"/>
                <w:b/>
                <w:bCs/>
                <w:sz w:val="26"/>
                <w:szCs w:val="26"/>
                <w:lang w:val="vi-VN"/>
              </w:rPr>
              <w:t> (Đã thể chế đầy đủ hoặc một phần/phù hợp với chủ trương, đường lối của Đảng)</w:t>
            </w:r>
          </w:p>
        </w:tc>
        <w:tc>
          <w:tcPr>
            <w:tcW w:w="3641" w:type="dxa"/>
            <w:vAlign w:val="center"/>
          </w:tcPr>
          <w:p w14:paraId="22D2F2AD" w14:textId="5B23C3D8" w:rsidR="002E0D9B" w:rsidRPr="00931939" w:rsidRDefault="002E0D9B" w:rsidP="002E0D9B">
            <w:pPr>
              <w:spacing w:after="0"/>
              <w:jc w:val="center"/>
              <w:rPr>
                <w:rFonts w:cs="Times New Roman"/>
                <w:b/>
                <w:lang w:val="eu-ES"/>
              </w:rPr>
            </w:pPr>
            <w:r w:rsidRPr="00931939">
              <w:rPr>
                <w:rFonts w:eastAsia="Times New Roman"/>
                <w:b/>
                <w:bCs/>
                <w:sz w:val="26"/>
                <w:szCs w:val="26"/>
                <w:lang w:val="vi-VN"/>
              </w:rPr>
              <w:t>Đ</w:t>
            </w:r>
            <w:r w:rsidRPr="00931939">
              <w:rPr>
                <w:rFonts w:eastAsia="Times New Roman"/>
                <w:b/>
                <w:bCs/>
                <w:sz w:val="26"/>
                <w:szCs w:val="26"/>
              </w:rPr>
              <w:t>Ề</w:t>
            </w:r>
            <w:r w:rsidRPr="00931939">
              <w:rPr>
                <w:rFonts w:eastAsia="Times New Roman"/>
                <w:b/>
                <w:bCs/>
                <w:sz w:val="26"/>
                <w:szCs w:val="26"/>
                <w:lang w:val="vi-VN"/>
              </w:rPr>
              <w:t> XUẤT XỬ L</w:t>
            </w:r>
            <w:r w:rsidRPr="00931939">
              <w:rPr>
                <w:rFonts w:eastAsia="Times New Roman"/>
                <w:b/>
                <w:bCs/>
                <w:sz w:val="26"/>
                <w:szCs w:val="26"/>
              </w:rPr>
              <w:t>Ý</w:t>
            </w:r>
          </w:p>
        </w:tc>
      </w:tr>
      <w:tr w:rsidR="00931939" w:rsidRPr="00931939" w14:paraId="10D3E60F" w14:textId="77777777" w:rsidTr="002E0D9B">
        <w:tc>
          <w:tcPr>
            <w:tcW w:w="3640" w:type="dxa"/>
          </w:tcPr>
          <w:p w14:paraId="117FA7C5" w14:textId="77777777" w:rsidR="00593F8D" w:rsidRPr="00931939" w:rsidRDefault="00593F8D" w:rsidP="00593F8D">
            <w:pPr>
              <w:spacing w:before="60" w:after="0" w:line="240" w:lineRule="auto"/>
              <w:jc w:val="both"/>
              <w:rPr>
                <w:sz w:val="24"/>
                <w:szCs w:val="24"/>
              </w:rPr>
            </w:pPr>
            <w:r w:rsidRPr="00931939">
              <w:rPr>
                <w:b/>
                <w:sz w:val="24"/>
                <w:szCs w:val="24"/>
              </w:rPr>
              <w:t>Điều 3, Điều 4</w:t>
            </w:r>
            <w:r w:rsidRPr="00931939">
              <w:rPr>
                <w:sz w:val="24"/>
                <w:szCs w:val="24"/>
              </w:rPr>
              <w:t xml:space="preserve"> dự thảo Nghị định quy định cơ chế đặc thù về điều chỉnh cập nhật quy hoạch, bao gồm:</w:t>
            </w:r>
          </w:p>
          <w:p w14:paraId="6953EFCE" w14:textId="77777777" w:rsidR="00593F8D" w:rsidRPr="00931939" w:rsidRDefault="00593F8D" w:rsidP="00593F8D">
            <w:pPr>
              <w:spacing w:before="60" w:after="0" w:line="240" w:lineRule="auto"/>
              <w:jc w:val="both"/>
              <w:rPr>
                <w:sz w:val="24"/>
                <w:szCs w:val="24"/>
              </w:rPr>
            </w:pPr>
            <w:r w:rsidRPr="00931939">
              <w:rPr>
                <w:sz w:val="24"/>
                <w:szCs w:val="24"/>
              </w:rPr>
              <w:t>- Thành phần hồ sơ, nội dung đề nghị điều chỉnh cập nhật quy hoạch phát triển điện lực; điều chỉnh cập nhật phương án phát triển mạng lưới cấp điện trong Quy hoạch tỉnh.</w:t>
            </w:r>
          </w:p>
          <w:p w14:paraId="5423975D" w14:textId="77777777" w:rsidR="00593F8D" w:rsidRPr="00931939" w:rsidRDefault="00593F8D" w:rsidP="00593F8D">
            <w:pPr>
              <w:spacing w:before="60" w:after="0" w:line="240" w:lineRule="auto"/>
              <w:jc w:val="both"/>
              <w:rPr>
                <w:sz w:val="24"/>
                <w:szCs w:val="24"/>
              </w:rPr>
            </w:pPr>
            <w:r w:rsidRPr="00931939">
              <w:rPr>
                <w:sz w:val="24"/>
                <w:szCs w:val="24"/>
              </w:rPr>
              <w:t>- Trình tự thực hiện, thời hạn giải quyết; trách nhiệm thẩm định, phê duyệt theo phân cấp; trách nhiệm phối hợp giữa các cơ quan.</w:t>
            </w:r>
          </w:p>
          <w:p w14:paraId="7472A957" w14:textId="77777777" w:rsidR="00593F8D" w:rsidRPr="00931939" w:rsidRDefault="00593F8D" w:rsidP="00593F8D">
            <w:pPr>
              <w:spacing w:before="60" w:after="0" w:line="240" w:lineRule="auto"/>
              <w:jc w:val="both"/>
              <w:rPr>
                <w:sz w:val="24"/>
                <w:szCs w:val="24"/>
              </w:rPr>
            </w:pPr>
            <w:r w:rsidRPr="00931939">
              <w:rPr>
                <w:sz w:val="24"/>
                <w:szCs w:val="24"/>
              </w:rPr>
              <w:t>- Thực hiện trên môi trường điện tử; chuẩn hóa, công khai hướng dẫn; số hóa và cập nhật cơ sở dữ liệu/thông tin phục vụ quản lý.</w:t>
            </w:r>
          </w:p>
          <w:p w14:paraId="57959387" w14:textId="6DD777A6" w:rsidR="00593F8D" w:rsidRPr="00931939" w:rsidRDefault="00593F8D" w:rsidP="00593F8D">
            <w:pPr>
              <w:spacing w:after="0"/>
              <w:rPr>
                <w:rFonts w:cs="Times New Roman"/>
                <w:b/>
                <w:sz w:val="24"/>
                <w:szCs w:val="24"/>
                <w:lang w:val="eu-ES"/>
              </w:rPr>
            </w:pPr>
            <w:r w:rsidRPr="00931939">
              <w:rPr>
                <w:sz w:val="24"/>
                <w:szCs w:val="24"/>
              </w:rPr>
              <w:t>- Yêu cầu công khai, minh bạch; theo dõi, kiểm tra, giám sát và chế độ tổng hợp, báo cáo việc điều chỉnh cập nhật quy hoạch.</w:t>
            </w:r>
          </w:p>
        </w:tc>
        <w:tc>
          <w:tcPr>
            <w:tcW w:w="3640" w:type="dxa"/>
          </w:tcPr>
          <w:p w14:paraId="7E15FDAF" w14:textId="77777777" w:rsidR="00593F8D" w:rsidRPr="00931939" w:rsidRDefault="00593F8D" w:rsidP="00593F8D">
            <w:pPr>
              <w:spacing w:before="60" w:after="0" w:line="240" w:lineRule="auto"/>
              <w:jc w:val="both"/>
              <w:rPr>
                <w:sz w:val="24"/>
                <w:szCs w:val="24"/>
              </w:rPr>
            </w:pPr>
            <w:r w:rsidRPr="00931939">
              <w:rPr>
                <w:b/>
                <w:sz w:val="24"/>
                <w:szCs w:val="24"/>
              </w:rPr>
              <w:t>Nghị quyết số 70-NQ/TW ngày 20/8/2025 của Bộ Chính trị:</w:t>
            </w:r>
          </w:p>
          <w:p w14:paraId="2CB20F72" w14:textId="77777777" w:rsidR="00593F8D" w:rsidRPr="00931939" w:rsidRDefault="00593F8D" w:rsidP="00593F8D">
            <w:pPr>
              <w:spacing w:before="60" w:after="0" w:line="240" w:lineRule="auto"/>
              <w:jc w:val="both"/>
              <w:rPr>
                <w:sz w:val="24"/>
                <w:szCs w:val="24"/>
              </w:rPr>
            </w:pPr>
            <w:r w:rsidRPr="00931939">
              <w:rPr>
                <w:sz w:val="24"/>
                <w:szCs w:val="24"/>
              </w:rPr>
              <w:t>- Phần III, mục 1: "... phân định rõ trách nhiệm, quyền hạn, cơ chế phối hợp giữa các bộ, ngành Trung ương và địa phương ..."</w:t>
            </w:r>
          </w:p>
          <w:p w14:paraId="46075F68" w14:textId="77777777" w:rsidR="00593F8D" w:rsidRPr="00931939" w:rsidRDefault="00593F8D" w:rsidP="00593F8D">
            <w:pPr>
              <w:spacing w:before="60" w:after="0" w:line="240" w:lineRule="auto"/>
              <w:jc w:val="both"/>
              <w:rPr>
                <w:sz w:val="24"/>
                <w:szCs w:val="24"/>
              </w:rPr>
            </w:pPr>
            <w:r w:rsidRPr="00931939">
              <w:rPr>
                <w:sz w:val="24"/>
                <w:szCs w:val="24"/>
              </w:rPr>
              <w:t>- Phần III, mục 2: "... Rà soát, tháo gỡ các điểm nghẽn về thể chế trong quy hoạch, cấp phép, huy động vốn, ... cho các dự án về năng lượng ..."</w:t>
            </w:r>
          </w:p>
          <w:p w14:paraId="23E3EE34" w14:textId="77777777" w:rsidR="00593F8D" w:rsidRPr="00931939" w:rsidRDefault="00593F8D" w:rsidP="00593F8D">
            <w:pPr>
              <w:spacing w:before="60" w:after="0" w:line="240" w:lineRule="auto"/>
              <w:jc w:val="both"/>
              <w:rPr>
                <w:sz w:val="24"/>
                <w:szCs w:val="24"/>
              </w:rPr>
            </w:pPr>
            <w:r w:rsidRPr="00931939">
              <w:rPr>
                <w:b/>
                <w:sz w:val="24"/>
                <w:szCs w:val="24"/>
              </w:rPr>
              <w:t>Nghị quyết số 18-NQ/TW ngày 25/10/2017 (Hội nghị Trung ương 6 khóa XII):</w:t>
            </w:r>
          </w:p>
          <w:p w14:paraId="7A35F710" w14:textId="77777777" w:rsidR="00593F8D" w:rsidRPr="00931939" w:rsidRDefault="00593F8D" w:rsidP="00593F8D">
            <w:pPr>
              <w:spacing w:before="60" w:after="0" w:line="240" w:lineRule="auto"/>
              <w:jc w:val="both"/>
              <w:rPr>
                <w:sz w:val="24"/>
                <w:szCs w:val="24"/>
              </w:rPr>
            </w:pPr>
            <w:r w:rsidRPr="00931939">
              <w:rPr>
                <w:sz w:val="24"/>
                <w:szCs w:val="24"/>
              </w:rPr>
              <w:t>- Phần III, mục 1: "... Thực hiện phân cấp, phân quyền mạnh mẽ, hợp lý ... gắn quyền hạn với trách nhiệm ... đề cao trách nhiệm giải trình ..."</w:t>
            </w:r>
          </w:p>
          <w:p w14:paraId="0354072B" w14:textId="77777777" w:rsidR="00593F8D" w:rsidRPr="00931939" w:rsidRDefault="00593F8D" w:rsidP="00593F8D">
            <w:pPr>
              <w:spacing w:before="60" w:after="0" w:line="240" w:lineRule="auto"/>
              <w:jc w:val="both"/>
              <w:rPr>
                <w:sz w:val="24"/>
                <w:szCs w:val="24"/>
              </w:rPr>
            </w:pPr>
            <w:r w:rsidRPr="00931939">
              <w:rPr>
                <w:sz w:val="24"/>
                <w:szCs w:val="24"/>
              </w:rPr>
              <w:t>- Phần III, mục 1: "... cải cách hành chính mạnh mẽ ... đẩy mạnh xây dựng chính phủ điện tử ..."</w:t>
            </w:r>
          </w:p>
          <w:p w14:paraId="49A3B4E4" w14:textId="77777777" w:rsidR="00593F8D" w:rsidRPr="00931939" w:rsidRDefault="00593F8D" w:rsidP="00593F8D">
            <w:pPr>
              <w:spacing w:before="60" w:after="0" w:line="240" w:lineRule="auto"/>
              <w:jc w:val="both"/>
              <w:rPr>
                <w:sz w:val="24"/>
                <w:szCs w:val="24"/>
              </w:rPr>
            </w:pPr>
            <w:r w:rsidRPr="00931939">
              <w:rPr>
                <w:b/>
                <w:sz w:val="24"/>
                <w:szCs w:val="24"/>
              </w:rPr>
              <w:lastRenderedPageBreak/>
              <w:t>Nghị quyết số 52-NQ/TW ngày 27/9/2019 của Bộ Chính trị:</w:t>
            </w:r>
          </w:p>
          <w:p w14:paraId="285F787B" w14:textId="77777777" w:rsidR="00593F8D" w:rsidRPr="00931939" w:rsidRDefault="00593F8D" w:rsidP="00593F8D">
            <w:pPr>
              <w:spacing w:before="60" w:after="0" w:line="240" w:lineRule="auto"/>
              <w:jc w:val="both"/>
              <w:rPr>
                <w:sz w:val="24"/>
                <w:szCs w:val="24"/>
              </w:rPr>
            </w:pPr>
            <w:r w:rsidRPr="00931939">
              <w:rPr>
                <w:sz w:val="24"/>
                <w:szCs w:val="24"/>
              </w:rPr>
              <w:t>- Phần III, mục 1: "... thúc đẩy chuyển đổi số quốc gia ... chính quyền điện tử, tiến tới chính quyền số."</w:t>
            </w:r>
          </w:p>
          <w:p w14:paraId="20498D45" w14:textId="719DD581" w:rsidR="00593F8D" w:rsidRPr="00931939" w:rsidRDefault="00593F8D" w:rsidP="00593F8D">
            <w:pPr>
              <w:spacing w:after="0"/>
              <w:rPr>
                <w:rFonts w:cs="Times New Roman"/>
                <w:b/>
                <w:sz w:val="24"/>
                <w:szCs w:val="24"/>
                <w:lang w:val="eu-ES"/>
              </w:rPr>
            </w:pPr>
            <w:r w:rsidRPr="00931939">
              <w:rPr>
                <w:sz w:val="24"/>
                <w:szCs w:val="24"/>
              </w:rPr>
              <w:t>- Phần III, mục 2: "... Hoàn thiện ... chính sách về dữ liệu, quản trị dữ liệu ... kết nối, chia sẻ và khai thác dữ liệu ..."</w:t>
            </w:r>
          </w:p>
        </w:tc>
        <w:tc>
          <w:tcPr>
            <w:tcW w:w="3641" w:type="dxa"/>
          </w:tcPr>
          <w:p w14:paraId="4F14B95D" w14:textId="77777777" w:rsidR="00593F8D" w:rsidRPr="00931939" w:rsidRDefault="00593F8D" w:rsidP="00593F8D">
            <w:pPr>
              <w:spacing w:before="60" w:after="0" w:line="240" w:lineRule="auto"/>
              <w:jc w:val="both"/>
              <w:rPr>
                <w:sz w:val="24"/>
                <w:szCs w:val="24"/>
              </w:rPr>
            </w:pPr>
            <w:r w:rsidRPr="00931939">
              <w:rPr>
                <w:sz w:val="24"/>
                <w:szCs w:val="24"/>
              </w:rPr>
              <w:lastRenderedPageBreak/>
              <w:t>- Các quy định tại Điều 3 và Điều 4 đã thể chế hóa đầy đủ yêu cầu của Bộ Chính trị tại Nghị quyết số 70-NQ/TW về hoàn thiện thể chế, tháo gỡ điểm nghẽn trong công tác quy hoạch năng lượng và tăng cường phối hợp, kiểm tra, giám sát; đồng thời thể chế hóa chủ trương của Nghị quyết số 18-NQ/TW về phân cấp, phân quyền gắn với kiểm soát quyền lực và cải cách thủ tục hành chính. Việc tổ chức quy trình trên môi trường điện tử, chuẩn hóa và cập nhật cơ sở dữ liệu phục vụ quản lý là phù hợp với định hướng tại Nghị quyết số 52-NQ/TW về phát triển hạ tầng số, hạ tầng dữ liệu. Nhìn chung, nội dung Điều 3, Điều 4 phù hợp với chủ trương, đường lối của Đảng và góp phần nâng cao hiệu lực, hiệu quả quản lý nhà nước về quy hoạch điện lực.</w:t>
            </w:r>
          </w:p>
          <w:p w14:paraId="40BD40C5" w14:textId="6917F63B" w:rsidR="00593F8D" w:rsidRPr="00931939" w:rsidRDefault="00593F8D" w:rsidP="00593F8D">
            <w:pPr>
              <w:spacing w:after="0"/>
              <w:rPr>
                <w:rFonts w:cs="Times New Roman"/>
                <w:b/>
                <w:sz w:val="24"/>
                <w:szCs w:val="24"/>
                <w:lang w:val="eu-ES"/>
              </w:rPr>
            </w:pPr>
            <w:r w:rsidRPr="00931939">
              <w:rPr>
                <w:sz w:val="24"/>
                <w:szCs w:val="24"/>
              </w:rPr>
              <w:lastRenderedPageBreak/>
              <w:t>- Thẩm quyền điều chỉnh cập nhật đã xác định rõ trong Nghị quyết số 253/2025/QH15.</w:t>
            </w:r>
          </w:p>
        </w:tc>
        <w:tc>
          <w:tcPr>
            <w:tcW w:w="3641" w:type="dxa"/>
          </w:tcPr>
          <w:p w14:paraId="376AA1F4" w14:textId="77777777" w:rsidR="00593F8D" w:rsidRPr="00931939" w:rsidRDefault="00593F8D" w:rsidP="00593F8D">
            <w:pPr>
              <w:spacing w:after="0"/>
              <w:rPr>
                <w:rFonts w:cs="Times New Roman"/>
                <w:b/>
                <w:sz w:val="24"/>
                <w:szCs w:val="24"/>
                <w:lang w:val="eu-ES"/>
              </w:rPr>
            </w:pPr>
          </w:p>
        </w:tc>
      </w:tr>
      <w:tr w:rsidR="00931939" w:rsidRPr="00931939" w14:paraId="4D851F01" w14:textId="77777777" w:rsidTr="002E0D9B">
        <w:tc>
          <w:tcPr>
            <w:tcW w:w="3640" w:type="dxa"/>
          </w:tcPr>
          <w:p w14:paraId="03431E4A" w14:textId="77777777" w:rsidR="0084521D" w:rsidRPr="00931939" w:rsidRDefault="0084521D" w:rsidP="0084521D">
            <w:pPr>
              <w:spacing w:after="0"/>
              <w:jc w:val="both"/>
              <w:rPr>
                <w:rFonts w:cs="Times New Roman"/>
                <w:b/>
                <w:sz w:val="24"/>
                <w:szCs w:val="24"/>
                <w:lang w:val="eu-ES"/>
              </w:rPr>
            </w:pPr>
            <w:r w:rsidRPr="00931939">
              <w:rPr>
                <w:rFonts w:cs="Times New Roman"/>
                <w:b/>
                <w:sz w:val="24"/>
                <w:szCs w:val="24"/>
                <w:lang w:val="eu-ES"/>
              </w:rPr>
              <w:t>Điều 5. Điều kiện của đơn vị khảo sát dự án điện gió ngoài khơi phục vụ lập chủ trương đầu tư dự án điện gió ngoài khơi</w:t>
            </w:r>
          </w:p>
          <w:p w14:paraId="40EDA1D3" w14:textId="77777777" w:rsidR="0084521D" w:rsidRPr="00931939" w:rsidRDefault="0084521D" w:rsidP="0084521D">
            <w:pPr>
              <w:spacing w:after="0"/>
              <w:jc w:val="both"/>
              <w:rPr>
                <w:rFonts w:cs="Times New Roman"/>
                <w:sz w:val="24"/>
                <w:szCs w:val="24"/>
                <w:lang w:val="eu-ES"/>
              </w:rPr>
            </w:pPr>
            <w:r w:rsidRPr="00931939">
              <w:rPr>
                <w:rFonts w:cs="Times New Roman"/>
                <w:sz w:val="24"/>
                <w:szCs w:val="24"/>
                <w:lang w:val="eu-ES"/>
              </w:rPr>
              <w:t>Ngoài các điều kiện và năng lực theo quy định hiện hành, doanh nghiệp đề xuất khảo sát dự án điện gió ngoài khơi phải đáp ứng các điều kiện sau:</w:t>
            </w:r>
          </w:p>
          <w:p w14:paraId="7765E42F" w14:textId="77777777" w:rsidR="0084521D" w:rsidRPr="00931939" w:rsidRDefault="0084521D" w:rsidP="0084521D">
            <w:pPr>
              <w:spacing w:after="0"/>
              <w:jc w:val="both"/>
              <w:rPr>
                <w:rFonts w:cs="Times New Roman"/>
                <w:sz w:val="24"/>
                <w:szCs w:val="24"/>
                <w:lang w:val="eu-ES"/>
              </w:rPr>
            </w:pPr>
            <w:r w:rsidRPr="00931939">
              <w:rPr>
                <w:rFonts w:cs="Times New Roman"/>
                <w:sz w:val="24"/>
                <w:szCs w:val="24"/>
                <w:lang w:val="eu-ES"/>
              </w:rPr>
              <w:t>1. Có vốn điều lệ tối thiểu 5.000 tỷ đồng.</w:t>
            </w:r>
          </w:p>
          <w:p w14:paraId="1AEFC953" w14:textId="77777777" w:rsidR="0084521D" w:rsidRPr="00931939" w:rsidRDefault="0084521D" w:rsidP="0084521D">
            <w:pPr>
              <w:spacing w:after="0"/>
              <w:jc w:val="both"/>
              <w:rPr>
                <w:rFonts w:cs="Times New Roman"/>
                <w:sz w:val="24"/>
                <w:szCs w:val="24"/>
                <w:lang w:val="eu-ES"/>
              </w:rPr>
            </w:pPr>
            <w:r w:rsidRPr="00931939">
              <w:rPr>
                <w:rFonts w:cs="Times New Roman"/>
                <w:sz w:val="24"/>
                <w:szCs w:val="24"/>
                <w:lang w:val="eu-ES"/>
              </w:rPr>
              <w:t xml:space="preserve">2. Đã đầu tư trực tiếp hoặc góp vốn đầu tư phát triển ít nhất một (01) dự án năng lượng (tổng vốn đầu tư không thấp hơn 10.000 tỷ đồng) được vận hành khai thác (trong vòng 05 năm gần nhất) tại Việt Nam, các nước trên thế giới (phần vốn trong dự án tối thiểu 5% tổng vốn đầu tư dự án) hoặc đã thực hiện </w:t>
            </w:r>
            <w:r w:rsidRPr="00931939">
              <w:rPr>
                <w:rFonts w:cs="Times New Roman"/>
                <w:sz w:val="24"/>
                <w:szCs w:val="24"/>
                <w:lang w:val="eu-ES"/>
              </w:rPr>
              <w:lastRenderedPageBreak/>
              <w:t>một trong các hoạt động như quản lý dự án, thi công xây dựng dự án điện gió ngoài khơi tại Việt Nam hoặc các nước trên thế giới.</w:t>
            </w:r>
          </w:p>
          <w:p w14:paraId="6CAC66FB" w14:textId="7C0B3E81" w:rsidR="002E0D9B" w:rsidRPr="00931939" w:rsidRDefault="0084521D" w:rsidP="0084521D">
            <w:pPr>
              <w:spacing w:after="0"/>
              <w:jc w:val="both"/>
              <w:rPr>
                <w:rFonts w:cs="Times New Roman"/>
                <w:sz w:val="24"/>
                <w:szCs w:val="24"/>
                <w:lang w:val="eu-ES"/>
              </w:rPr>
            </w:pPr>
            <w:r w:rsidRPr="00931939">
              <w:rPr>
                <w:rFonts w:cs="Times New Roman"/>
                <w:sz w:val="24"/>
                <w:szCs w:val="24"/>
                <w:lang w:val="eu-ES"/>
              </w:rPr>
              <w:t>3. Các điều kiện tại khoản 1, khoản 2 Điều này không áp dụng cho đơn vị thực hiện tư vấn, cung cấp dịch vụ khảo sát điện gió ngoài khơi, trừ trường hợp đơn vị khảo sát tự thực hiện.</w:t>
            </w:r>
          </w:p>
        </w:tc>
        <w:tc>
          <w:tcPr>
            <w:tcW w:w="3640" w:type="dxa"/>
          </w:tcPr>
          <w:p w14:paraId="35061882" w14:textId="77777777" w:rsidR="0084521D" w:rsidRPr="00931939" w:rsidRDefault="0084521D" w:rsidP="0084521D">
            <w:pPr>
              <w:spacing w:before="60" w:after="0" w:line="240" w:lineRule="auto"/>
              <w:jc w:val="both"/>
              <w:rPr>
                <w:sz w:val="24"/>
                <w:szCs w:val="24"/>
              </w:rPr>
            </w:pPr>
            <w:r w:rsidRPr="00931939">
              <w:rPr>
                <w:b/>
                <w:sz w:val="24"/>
                <w:szCs w:val="24"/>
              </w:rPr>
              <w:lastRenderedPageBreak/>
              <w:t>Nghị quyết số 70-NQ/TW ngày 20/8/2025 của Bộ Chính trị:</w:t>
            </w:r>
          </w:p>
          <w:p w14:paraId="2CF78D57" w14:textId="03DFA3ED" w:rsidR="002E0D9B" w:rsidRPr="00931939" w:rsidRDefault="00C350EB" w:rsidP="00C350EB">
            <w:pPr>
              <w:spacing w:after="0"/>
              <w:jc w:val="both"/>
              <w:rPr>
                <w:rFonts w:cs="Times New Roman"/>
                <w:sz w:val="24"/>
                <w:szCs w:val="24"/>
                <w:lang w:val="eu-ES"/>
              </w:rPr>
            </w:pPr>
            <w:r w:rsidRPr="00931939">
              <w:rPr>
                <w:rFonts w:cs="Times New Roman"/>
                <w:sz w:val="24"/>
                <w:szCs w:val="24"/>
                <w:lang w:val="eu-ES"/>
              </w:rPr>
              <w:t>- Phần III, mục 3: “</w:t>
            </w:r>
            <w:r w:rsidRPr="00931939">
              <w:rPr>
                <w:rFonts w:cs="Times New Roman"/>
                <w:i/>
                <w:sz w:val="24"/>
                <w:szCs w:val="24"/>
                <w:lang w:val="eu-ES"/>
              </w:rPr>
              <w:t>nghiên cứu, giao nhiệm vụ cho một số doanh nghiệp lớn nhà nước, tư nhân có uy tín, thương hiệu, có thực lực để thực hiện nhiệm vụ phát triển các dự án điện gió ngoài khơi quy mô lớn gắn với bảo đảm quốc phòng, an ninh, bảo vệ chủ quyền biển, đảo.”</w:t>
            </w:r>
          </w:p>
        </w:tc>
        <w:tc>
          <w:tcPr>
            <w:tcW w:w="3641" w:type="dxa"/>
          </w:tcPr>
          <w:p w14:paraId="2FF61AA6" w14:textId="0B28AA48" w:rsidR="002E0D9B" w:rsidRPr="00931939" w:rsidRDefault="00D87E64" w:rsidP="00D87E64">
            <w:pPr>
              <w:spacing w:after="0"/>
              <w:jc w:val="both"/>
              <w:rPr>
                <w:rFonts w:cs="Times New Roman"/>
                <w:sz w:val="24"/>
                <w:szCs w:val="24"/>
                <w:lang w:val="eu-ES"/>
              </w:rPr>
            </w:pPr>
            <w:r w:rsidRPr="00931939">
              <w:rPr>
                <w:rFonts w:cs="Times New Roman"/>
                <w:sz w:val="24"/>
                <w:szCs w:val="24"/>
                <w:lang w:val="eu-ES"/>
              </w:rPr>
              <w:t>- Quy định tại Điều 5 đã thể chế hóa một phần yêu cầu của Bộ Chính trị tại Nghị quyết số 70-NQ/TW về hoàn thiện thể chế</w:t>
            </w:r>
            <w:r w:rsidR="00030E72" w:rsidRPr="00931939">
              <w:rPr>
                <w:rFonts w:cs="Times New Roman"/>
                <w:sz w:val="24"/>
                <w:szCs w:val="24"/>
                <w:lang w:val="eu-ES"/>
              </w:rPr>
              <w:t xml:space="preserve"> về việc giao nhiệm vụ cho doanh nghiệp lớn có uy tín, thương hiệu, thực lực để thực hiện nhiệm vụ phát triển các dự án điện gió ngoài khơi</w:t>
            </w:r>
            <w:r w:rsidR="00F92794" w:rsidRPr="00931939">
              <w:rPr>
                <w:rFonts w:cs="Times New Roman"/>
                <w:sz w:val="24"/>
                <w:szCs w:val="24"/>
                <w:lang w:val="eu-ES"/>
              </w:rPr>
              <w:t xml:space="preserve"> có quy mô lớn gắn với bảo đảm quốc phòng, an ninh, bảo vệ chủ quyền biển, đảo</w:t>
            </w:r>
            <w:r w:rsidR="0091027E" w:rsidRPr="00931939">
              <w:rPr>
                <w:rFonts w:cs="Times New Roman"/>
                <w:sz w:val="24"/>
                <w:szCs w:val="24"/>
                <w:lang w:val="eu-ES"/>
              </w:rPr>
              <w:t>.</w:t>
            </w:r>
            <w:r w:rsidRPr="00931939">
              <w:rPr>
                <w:rFonts w:cs="Times New Roman"/>
                <w:sz w:val="24"/>
                <w:szCs w:val="24"/>
                <w:lang w:val="eu-ES"/>
              </w:rPr>
              <w:t xml:space="preserve"> </w:t>
            </w:r>
          </w:p>
        </w:tc>
        <w:tc>
          <w:tcPr>
            <w:tcW w:w="3641" w:type="dxa"/>
          </w:tcPr>
          <w:p w14:paraId="0F691631" w14:textId="77777777" w:rsidR="002E0D9B" w:rsidRPr="00931939" w:rsidRDefault="002E0D9B" w:rsidP="002E0D9B">
            <w:pPr>
              <w:spacing w:after="0"/>
              <w:rPr>
                <w:rFonts w:cs="Times New Roman"/>
                <w:b/>
                <w:sz w:val="24"/>
                <w:szCs w:val="24"/>
                <w:lang w:val="eu-ES"/>
              </w:rPr>
            </w:pPr>
          </w:p>
        </w:tc>
      </w:tr>
      <w:tr w:rsidR="00931939" w:rsidRPr="00931939" w14:paraId="55817D95" w14:textId="77777777" w:rsidTr="002E0D9B">
        <w:tc>
          <w:tcPr>
            <w:tcW w:w="3640" w:type="dxa"/>
          </w:tcPr>
          <w:p w14:paraId="1E2190AA" w14:textId="77777777" w:rsidR="00C350EB" w:rsidRPr="00931939" w:rsidRDefault="00C350EB" w:rsidP="00C350EB">
            <w:pPr>
              <w:spacing w:after="0"/>
              <w:jc w:val="both"/>
              <w:rPr>
                <w:rFonts w:cs="Times New Roman"/>
                <w:b/>
                <w:sz w:val="24"/>
                <w:szCs w:val="24"/>
                <w:lang w:val="eu-ES"/>
              </w:rPr>
            </w:pPr>
            <w:r w:rsidRPr="00931939">
              <w:rPr>
                <w:rFonts w:cs="Times New Roman"/>
                <w:b/>
                <w:sz w:val="24"/>
                <w:szCs w:val="24"/>
                <w:lang w:val="eu-ES"/>
              </w:rPr>
              <w:t>Điều 6. Xử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08B79D28" w14:textId="77777777" w:rsidR="00C350EB" w:rsidRPr="00931939" w:rsidRDefault="00C350EB" w:rsidP="00C350EB">
            <w:pPr>
              <w:spacing w:after="0"/>
              <w:jc w:val="both"/>
              <w:rPr>
                <w:rFonts w:cs="Times New Roman"/>
                <w:sz w:val="24"/>
                <w:szCs w:val="24"/>
                <w:lang w:val="eu-ES"/>
              </w:rPr>
            </w:pPr>
            <w:r w:rsidRPr="00931939">
              <w:rPr>
                <w:rFonts w:cs="Times New Roman"/>
                <w:sz w:val="24"/>
                <w:szCs w:val="24"/>
                <w:lang w:val="eu-ES"/>
              </w:rPr>
              <w:t>1. Trường hợp doanh nghiệp do Nhà nước nắm giữ 100% vốn điều lệ đã thực hiện khảo sát nhưng không tham gia thực hiện Dự án theo quy định tại điểm b khoản 3 Điều 27 của Luật Điện lực số 61/2024/QH15 thì thực hiện như sau:</w:t>
            </w:r>
          </w:p>
          <w:p w14:paraId="0714C161" w14:textId="77777777" w:rsidR="00C350EB" w:rsidRPr="00931939" w:rsidRDefault="00C350EB" w:rsidP="00C350EB">
            <w:pPr>
              <w:spacing w:after="0"/>
              <w:jc w:val="both"/>
              <w:rPr>
                <w:rFonts w:cs="Times New Roman"/>
                <w:sz w:val="24"/>
                <w:szCs w:val="24"/>
                <w:lang w:val="eu-ES"/>
              </w:rPr>
            </w:pPr>
            <w:r w:rsidRPr="00931939">
              <w:rPr>
                <w:rFonts w:cs="Times New Roman"/>
                <w:sz w:val="24"/>
                <w:szCs w:val="24"/>
                <w:lang w:val="eu-ES"/>
              </w:rPr>
              <w:t xml:space="preserve">a) Nhà đầu tư phải hoàn trả toàn bộ chi phí khảo sát, chi phí lập hồ sơ chấp thuận chủ trương đầu tư cho doanh nghiệp do Nhà nước nắm giữ 100% vốn điều lệ trước khi được </w:t>
            </w:r>
            <w:r w:rsidRPr="00931939">
              <w:rPr>
                <w:rFonts w:cs="Times New Roman"/>
                <w:sz w:val="24"/>
                <w:szCs w:val="24"/>
                <w:lang w:val="eu-ES"/>
              </w:rPr>
              <w:lastRenderedPageBreak/>
              <w:t>chấp thuận là nhà đầu tư thực hiện dự án điện gió ngoài khơi;</w:t>
            </w:r>
          </w:p>
          <w:p w14:paraId="424B6268" w14:textId="77777777" w:rsidR="00C350EB" w:rsidRPr="00931939" w:rsidRDefault="00C350EB" w:rsidP="00C350EB">
            <w:pPr>
              <w:spacing w:after="0"/>
              <w:jc w:val="both"/>
              <w:rPr>
                <w:rFonts w:cs="Times New Roman"/>
                <w:sz w:val="24"/>
                <w:szCs w:val="24"/>
                <w:lang w:val="eu-ES"/>
              </w:rPr>
            </w:pPr>
            <w:r w:rsidRPr="00931939">
              <w:rPr>
                <w:rFonts w:cs="Times New Roman"/>
                <w:sz w:val="24"/>
                <w:szCs w:val="24"/>
                <w:lang w:val="eu-ES"/>
              </w:rPr>
              <w:t>b) Trong vòng 12 tháng kể từ thời điểm kết thúc khảo sát không có nhà đầu tư trúng thầu, chi phí khảo sát và chi phí lập hồ sơ được hạch toán vào chi phí sản xuất kinh doanh của doanh nghiệp.</w:t>
            </w:r>
          </w:p>
          <w:p w14:paraId="610B0426" w14:textId="77777777" w:rsidR="00C350EB" w:rsidRPr="00931939" w:rsidRDefault="00C350EB" w:rsidP="00C350EB">
            <w:pPr>
              <w:spacing w:after="0"/>
              <w:jc w:val="both"/>
              <w:rPr>
                <w:rFonts w:cs="Times New Roman"/>
                <w:sz w:val="24"/>
                <w:szCs w:val="24"/>
                <w:lang w:val="eu-ES"/>
              </w:rPr>
            </w:pPr>
            <w:r w:rsidRPr="00931939">
              <w:rPr>
                <w:rFonts w:cs="Times New Roman"/>
                <w:sz w:val="24"/>
                <w:szCs w:val="24"/>
                <w:lang w:val="eu-ES"/>
              </w:rPr>
              <w:t>2. Trường hợp doanh nghiệp do Nhà nước nắm giữ 100% vốn điều lệ đã thực hiện khảo sát thực hiện góp vốn đầu tư vào dự án điện gió ngoài khơi tại khu vực được cấp có thẩm quyền giao thực hiện khảo sát theo quy định tại điểm a khoản 2 Điều 27 của Luật Điện lực số 61/2024/QH15 thì thực hiện như sau:</w:t>
            </w:r>
          </w:p>
          <w:p w14:paraId="7EAB13DF" w14:textId="77777777" w:rsidR="00C350EB" w:rsidRPr="00931939" w:rsidRDefault="00C350EB" w:rsidP="00C350EB">
            <w:pPr>
              <w:spacing w:after="0"/>
              <w:jc w:val="both"/>
              <w:rPr>
                <w:rFonts w:cs="Times New Roman"/>
                <w:sz w:val="24"/>
                <w:szCs w:val="24"/>
                <w:lang w:val="eu-ES"/>
              </w:rPr>
            </w:pPr>
            <w:r w:rsidRPr="00931939">
              <w:rPr>
                <w:rFonts w:cs="Times New Roman"/>
                <w:sz w:val="24"/>
                <w:szCs w:val="24"/>
                <w:lang w:val="eu-ES"/>
              </w:rPr>
              <w:t>a) Các nhà đầu tư tham gia cùng góp vốn dự án hoàn trả chi phí khảo sát, chi phí lập hồ sơ chấp thuận chủ trương đầu tư theo tỷ lệ góp vốn được quy định trong hồ sơ chấp thuận chủ trương đầu tư trước khi được chấp thuận là nhà đầu tư thực hiện dự án điện gió ngoài khơi;</w:t>
            </w:r>
          </w:p>
          <w:p w14:paraId="2D6F7AAE" w14:textId="04264BB3" w:rsidR="002E0D9B" w:rsidRPr="00931939" w:rsidRDefault="00C350EB" w:rsidP="00C350EB">
            <w:pPr>
              <w:spacing w:after="0"/>
              <w:jc w:val="both"/>
              <w:rPr>
                <w:rFonts w:cs="Times New Roman"/>
                <w:b/>
                <w:sz w:val="24"/>
                <w:szCs w:val="24"/>
                <w:lang w:val="eu-ES"/>
              </w:rPr>
            </w:pPr>
            <w:r w:rsidRPr="00931939">
              <w:rPr>
                <w:rFonts w:cs="Times New Roman"/>
                <w:sz w:val="24"/>
                <w:szCs w:val="24"/>
                <w:lang w:val="eu-ES"/>
              </w:rPr>
              <w:t xml:space="preserve">b) Dự án không đáp ứng đủ các điều kiện để quyết định đầu tư, hoặc đã quyết định đầu tư nhưng bị dừng, hủy bỏ hoặc không tiếp tục thực hiện theo quyết định của cấp có </w:t>
            </w:r>
            <w:r w:rsidRPr="00931939">
              <w:rPr>
                <w:rFonts w:cs="Times New Roman"/>
                <w:sz w:val="24"/>
                <w:szCs w:val="24"/>
                <w:lang w:val="eu-ES"/>
              </w:rPr>
              <w:lastRenderedPageBreak/>
              <w:t>thẩm quyền, chi phí khảo sát và chi phí lập hồ sơ theo tỷ lệ góp vốn được hạch toán vào chi phí sản xuất kinh doanh của doanh nghiệp.</w:t>
            </w:r>
          </w:p>
        </w:tc>
        <w:tc>
          <w:tcPr>
            <w:tcW w:w="3640" w:type="dxa"/>
          </w:tcPr>
          <w:p w14:paraId="0EAEC2D4" w14:textId="77777777" w:rsidR="0014401F" w:rsidRPr="00931939" w:rsidRDefault="0014401F" w:rsidP="0014401F">
            <w:pPr>
              <w:spacing w:after="0"/>
              <w:jc w:val="both"/>
              <w:rPr>
                <w:rFonts w:cs="Times New Roman"/>
                <w:sz w:val="24"/>
                <w:szCs w:val="24"/>
                <w:lang w:val="eu-ES"/>
              </w:rPr>
            </w:pPr>
            <w:r w:rsidRPr="00931939">
              <w:rPr>
                <w:rFonts w:cs="Times New Roman"/>
                <w:sz w:val="24"/>
                <w:szCs w:val="24"/>
                <w:lang w:val="eu-ES"/>
              </w:rPr>
              <w:lastRenderedPageBreak/>
              <w:t>Nghị quyết số 70-NQ/TW ngày 20/8/2025 của Bộ Chính trị:</w:t>
            </w:r>
          </w:p>
          <w:p w14:paraId="28C22CD8" w14:textId="60732754" w:rsidR="002E0D9B" w:rsidRPr="00931939" w:rsidRDefault="0014401F" w:rsidP="0014401F">
            <w:pPr>
              <w:spacing w:after="0"/>
              <w:jc w:val="both"/>
              <w:rPr>
                <w:rFonts w:cs="Times New Roman"/>
                <w:i/>
                <w:sz w:val="24"/>
                <w:szCs w:val="24"/>
                <w:lang w:val="eu-ES"/>
              </w:rPr>
            </w:pPr>
            <w:r w:rsidRPr="00931939">
              <w:rPr>
                <w:rFonts w:cs="Times New Roman"/>
                <w:sz w:val="24"/>
                <w:szCs w:val="24"/>
                <w:lang w:val="eu-ES"/>
              </w:rPr>
              <w:t>- Phần III, mục 3:</w:t>
            </w:r>
            <w:r w:rsidRPr="00931939">
              <w:rPr>
                <w:rFonts w:cs="Times New Roman"/>
                <w:i/>
                <w:sz w:val="24"/>
                <w:szCs w:val="24"/>
                <w:lang w:val="eu-ES"/>
              </w:rPr>
              <w:t>“Khẩn trương tháo gỡ khó khăn, vướng mắc, đẩy nhanh tiến độ triển khai các dự án năng lượng trọng điểm, đặc biệt là các dự án nguồn điện và lưới điện truyền tải”.</w:t>
            </w:r>
          </w:p>
        </w:tc>
        <w:tc>
          <w:tcPr>
            <w:tcW w:w="3641" w:type="dxa"/>
          </w:tcPr>
          <w:p w14:paraId="3C3F26D2" w14:textId="5888BA76" w:rsidR="002E0D9B" w:rsidRPr="00931939" w:rsidRDefault="00CB2BA3" w:rsidP="007E4AC0">
            <w:pPr>
              <w:spacing w:after="0"/>
              <w:jc w:val="both"/>
              <w:rPr>
                <w:rFonts w:cs="Times New Roman"/>
                <w:sz w:val="24"/>
                <w:szCs w:val="24"/>
                <w:lang w:val="eu-ES"/>
              </w:rPr>
            </w:pPr>
            <w:r w:rsidRPr="00931939">
              <w:rPr>
                <w:rFonts w:cs="Times New Roman"/>
                <w:sz w:val="24"/>
                <w:szCs w:val="24"/>
                <w:lang w:val="eu-ES"/>
              </w:rPr>
              <w:t xml:space="preserve">Quy định tại Điều 6 đã thể chế hóa một phần yêu cầu của Bộ Chính trị tại Nghị quyết số 70-NQ/TW về hoàn thiện thể chế, tháo gỡ điểm nghẽn trong công tác </w:t>
            </w:r>
            <w:r w:rsidR="007E4AC0" w:rsidRPr="00931939">
              <w:rPr>
                <w:rFonts w:cs="Times New Roman"/>
                <w:sz w:val="24"/>
                <w:szCs w:val="24"/>
                <w:lang w:val="eu-ES"/>
              </w:rPr>
              <w:t>triển khai các dự án năng lượng trọng điểm.</w:t>
            </w:r>
          </w:p>
        </w:tc>
        <w:tc>
          <w:tcPr>
            <w:tcW w:w="3641" w:type="dxa"/>
          </w:tcPr>
          <w:p w14:paraId="5DC123A6" w14:textId="77777777" w:rsidR="002E0D9B" w:rsidRPr="00931939" w:rsidRDefault="002E0D9B" w:rsidP="002E0D9B">
            <w:pPr>
              <w:spacing w:after="0"/>
              <w:rPr>
                <w:rFonts w:cs="Times New Roman"/>
                <w:b/>
                <w:sz w:val="24"/>
                <w:szCs w:val="24"/>
                <w:lang w:val="eu-ES"/>
              </w:rPr>
            </w:pPr>
          </w:p>
        </w:tc>
      </w:tr>
      <w:tr w:rsidR="00931939" w:rsidRPr="00931939" w14:paraId="7F5E22BB" w14:textId="77777777" w:rsidTr="002E0D9B">
        <w:tc>
          <w:tcPr>
            <w:tcW w:w="3640" w:type="dxa"/>
          </w:tcPr>
          <w:p w14:paraId="3F0B4A04" w14:textId="77777777" w:rsidR="00D17BA0" w:rsidRPr="00931939" w:rsidRDefault="00D17BA0" w:rsidP="00D17BA0">
            <w:pPr>
              <w:spacing w:after="0"/>
              <w:jc w:val="both"/>
              <w:rPr>
                <w:rFonts w:cs="Times New Roman"/>
                <w:b/>
                <w:sz w:val="24"/>
                <w:szCs w:val="24"/>
                <w:lang w:val="eu-ES"/>
              </w:rPr>
            </w:pPr>
            <w:r w:rsidRPr="00931939">
              <w:rPr>
                <w:rFonts w:cs="Times New Roman"/>
                <w:b/>
                <w:sz w:val="24"/>
                <w:szCs w:val="24"/>
                <w:lang w:val="eu-ES"/>
              </w:rPr>
              <w:lastRenderedPageBreak/>
              <w:t>Điều 7. Hồ sơ đề nghị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2F2363C1"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1. Hồ sơ đề nghị chấp thuận chủ trương đầu tư dự án đầu tư kinh doanh điện gió ngoài khơi trong quy hoạch phát triển điện lực và dự kiến vận hành trong giai đoạn 2025 – 2030 bao gồm các nội dung sau:</w:t>
            </w:r>
          </w:p>
          <w:p w14:paraId="7BB6B6F4"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a) Nội dung theo quy định của pháp luật về đầu tư;</w:t>
            </w:r>
          </w:p>
          <w:p w14:paraId="2B95B8A9"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b) Nội dung khác phù hợp với pháp luật về xây dựng trường hợp phải lập báo cáo nghiên cứu tiền khả thi;</w:t>
            </w:r>
          </w:p>
          <w:p w14:paraId="29D9F55A"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c) Dự kiến diện tích, vị trí khu vực biển sử dụng khảo sát, thời gian thực hiện khảo sát;</w:t>
            </w:r>
          </w:p>
          <w:p w14:paraId="29A63BE3"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 xml:space="preserve">d) Số liệu nghiên cứu hoặc số liệu thu thập từ nguồn hợp pháp, bảo đảm tin cậy của khu vực đề xuất thực hiện dự án điện gió ngoài khơi, </w:t>
            </w:r>
            <w:r w:rsidRPr="00931939">
              <w:rPr>
                <w:rFonts w:cs="Times New Roman"/>
                <w:sz w:val="24"/>
                <w:szCs w:val="24"/>
                <w:lang w:val="eu-ES"/>
              </w:rPr>
              <w:lastRenderedPageBreak/>
              <w:t>bao gồm: sơ bộ về tốc độ gió được đánh giá khả thi để đầu tư điện gió ngoài khơi (tối thiểu thời đoạn tuần), điều kiện địa hình, điều kiện địa chất; sơ bộ điều kiện tự nhiên, điều kiện hải dương học (nếu có); sơ bộ phương án cảng vận chuyển thiết bị dự án điện gió ngoài khơi;</w:t>
            </w:r>
          </w:p>
          <w:p w14:paraId="69544429"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đ) Đề xuất mức giảm giá điện (đồng/kwh) so với mức trần khung giá tại năm đàm phán hợp đồng mua bán điện;</w:t>
            </w:r>
          </w:p>
          <w:p w14:paraId="60C7CAC9"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e) Vị trí khu vực biển sử dụng để đầu tư dự án được xác định tại báo cáo nghiên cứu khả thi đầu tư xây dựng dự án điện gió ngoài khơi và nằm trong vị trí khu vực biển được giao sử dụng khảo sát tại hồ sơ chấp thuận chủ trương đầu tư được cấp có thẩm quyền phê duyệt;</w:t>
            </w:r>
          </w:p>
          <w:p w14:paraId="6BBB5E74"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g) Đề xuất các mốc tiến độ thực hiện dự án: Quyết định phê duyệt dự án; khởi công công trình chính của dự án; đưa dự án vào vận hành;</w:t>
            </w:r>
          </w:p>
          <w:p w14:paraId="0E237564"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h) Tài liệu chứng minh năng lực của doanh nghiệp theo quy định.</w:t>
            </w:r>
          </w:p>
          <w:p w14:paraId="015B2A84"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 xml:space="preserve">2. Hồ sơ chấp thuận chủ trương đầu tư dự án đầu tư kinh doanh điện gió ngoài khơi trong quy hoạch phát triển điện lực và dự kiến vận hành </w:t>
            </w:r>
            <w:r w:rsidRPr="00931939">
              <w:rPr>
                <w:rFonts w:cs="Times New Roman"/>
                <w:sz w:val="24"/>
                <w:szCs w:val="24"/>
                <w:lang w:val="eu-ES"/>
              </w:rPr>
              <w:lastRenderedPageBreak/>
              <w:t>trong giai đoạn 2031 – 2035 bao gồm các nội dung sau:</w:t>
            </w:r>
          </w:p>
          <w:p w14:paraId="217AAB60"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a) Nội dung theo quy định của pháp luật về đầu tư;</w:t>
            </w:r>
          </w:p>
          <w:p w14:paraId="7A0D35CC"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b) Nội dung khác phù hợp với pháp luật về xây dựng trường hợp phải lập báo cáo nghiên cứu tiền khả thi;</w:t>
            </w:r>
          </w:p>
          <w:p w14:paraId="67D5DA17"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c) Số liệu thực tế tại khu vực được giao khu vực biển để khảo sát điện gió ngoài khơi, bao gồm: tốc độ gió được đánh giá khả thi để đầu tư điện gió ngoài khơi (tối thiểu thời đoạn tuần), điều kiện địa hình, điều kiện địa chất; điều kiện tự nhiên, điều kiện hải dương học (nếu có); dự kiến phương án cảng vận chuyển thiết bị dự án điện gió ngoài khơi;</w:t>
            </w:r>
          </w:p>
          <w:p w14:paraId="121C9A12"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d) Đề xuất mức giảm giá điện (đồng/kwh) so với mức trần khung giá tại năm đàm phán hợp đồng mua bán điện (nếu có);</w:t>
            </w:r>
          </w:p>
          <w:p w14:paraId="6E4F65B9"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đ) Đề xuất các mốc tiến độ thực hiện dự án: Quyết định phê duyệt dự án; khởi công công trình chính của dự án; đưa dự án vào vận hành;</w:t>
            </w:r>
          </w:p>
          <w:p w14:paraId="76FE6B75"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e) Văn bản chấp thuận vị trí điểm gom công suất của dự án điện gió ngoài khơi của Bộ Công Thương;</w:t>
            </w:r>
          </w:p>
          <w:p w14:paraId="53BE42BA" w14:textId="196D4E15" w:rsidR="000F45E2" w:rsidRPr="00931939" w:rsidRDefault="00D17BA0" w:rsidP="00D17BA0">
            <w:pPr>
              <w:spacing w:after="0"/>
              <w:jc w:val="both"/>
              <w:rPr>
                <w:rFonts w:cs="Times New Roman"/>
                <w:sz w:val="24"/>
                <w:szCs w:val="24"/>
                <w:lang w:val="eu-ES"/>
              </w:rPr>
            </w:pPr>
            <w:r w:rsidRPr="00931939">
              <w:rPr>
                <w:rFonts w:cs="Times New Roman"/>
                <w:sz w:val="24"/>
                <w:szCs w:val="24"/>
                <w:lang w:val="eu-ES"/>
              </w:rPr>
              <w:t>g) Tài liệu chứng minh năng lực của doanh nghiệp theo quy định.</w:t>
            </w:r>
          </w:p>
        </w:tc>
        <w:tc>
          <w:tcPr>
            <w:tcW w:w="3640" w:type="dxa"/>
          </w:tcPr>
          <w:p w14:paraId="3C404A49" w14:textId="77777777" w:rsidR="000F45E2" w:rsidRPr="00931939" w:rsidRDefault="000F45E2" w:rsidP="00F1704C">
            <w:pPr>
              <w:spacing w:after="0"/>
              <w:jc w:val="both"/>
              <w:rPr>
                <w:rFonts w:cs="Times New Roman"/>
                <w:sz w:val="24"/>
                <w:szCs w:val="24"/>
                <w:lang w:val="eu-ES"/>
              </w:rPr>
            </w:pPr>
            <w:r w:rsidRPr="00931939">
              <w:rPr>
                <w:rFonts w:cs="Times New Roman"/>
                <w:sz w:val="24"/>
                <w:szCs w:val="24"/>
                <w:lang w:val="eu-ES"/>
              </w:rPr>
              <w:lastRenderedPageBreak/>
              <w:t>Nghị quyết số 70-NQ/TW ngày 20/8/2025 của Bộ Chính trị:</w:t>
            </w:r>
          </w:p>
          <w:p w14:paraId="4512BE80" w14:textId="096EAACA" w:rsidR="000F45E2" w:rsidRPr="00931939" w:rsidRDefault="000F45E2" w:rsidP="00F1704C">
            <w:pPr>
              <w:spacing w:after="0"/>
              <w:jc w:val="both"/>
              <w:rPr>
                <w:rFonts w:cs="Times New Roman"/>
                <w:b/>
                <w:sz w:val="24"/>
                <w:szCs w:val="24"/>
                <w:lang w:val="eu-ES"/>
              </w:rPr>
            </w:pPr>
            <w:r w:rsidRPr="00931939">
              <w:rPr>
                <w:rFonts w:cs="Times New Roman"/>
                <w:sz w:val="24"/>
                <w:szCs w:val="24"/>
                <w:lang w:val="eu-ES"/>
              </w:rPr>
              <w:t>- Phần III, mục 3:</w:t>
            </w:r>
            <w:r w:rsidRPr="00931939">
              <w:rPr>
                <w:rFonts w:cs="Times New Roman"/>
                <w:i/>
                <w:sz w:val="24"/>
                <w:szCs w:val="24"/>
                <w:lang w:val="eu-ES"/>
              </w:rPr>
              <w:t>“Khẩn trương tháo gỡ khó khăn, vướng mắc, đẩy nhanh tiến độ triển khai các dự án năng lượng trọng điểm, đặc biệt là các dự án nguồn điện và lưới điện truyền tải”.</w:t>
            </w:r>
          </w:p>
        </w:tc>
        <w:tc>
          <w:tcPr>
            <w:tcW w:w="3641" w:type="dxa"/>
          </w:tcPr>
          <w:p w14:paraId="7B2301AC" w14:textId="4814AAC9" w:rsidR="000F45E2" w:rsidRPr="00931939" w:rsidRDefault="000F45E2" w:rsidP="00F1704C">
            <w:pPr>
              <w:spacing w:after="0"/>
              <w:jc w:val="both"/>
              <w:rPr>
                <w:rFonts w:cs="Times New Roman"/>
                <w:b/>
                <w:sz w:val="24"/>
                <w:szCs w:val="24"/>
                <w:lang w:val="eu-ES"/>
              </w:rPr>
            </w:pPr>
            <w:r w:rsidRPr="00931939">
              <w:rPr>
                <w:rFonts w:cs="Times New Roman"/>
                <w:sz w:val="24"/>
                <w:szCs w:val="24"/>
                <w:lang w:val="eu-ES"/>
              </w:rPr>
              <w:t xml:space="preserve">Quy định tại Điều </w:t>
            </w:r>
            <w:r w:rsidR="00CC7FDF" w:rsidRPr="00931939">
              <w:rPr>
                <w:rFonts w:cs="Times New Roman"/>
                <w:sz w:val="24"/>
                <w:szCs w:val="24"/>
                <w:lang w:val="eu-ES"/>
              </w:rPr>
              <w:t>7</w:t>
            </w:r>
            <w:r w:rsidRPr="00931939">
              <w:rPr>
                <w:rFonts w:cs="Times New Roman"/>
                <w:sz w:val="24"/>
                <w:szCs w:val="24"/>
                <w:lang w:val="eu-ES"/>
              </w:rPr>
              <w:t xml:space="preserve"> đã thể chế hóa một phần yêu cầu của Bộ Chính trị tại Nghị quyết số 70-NQ/TW về hoàn thiện thể chế, tháo gỡ điểm nghẽn trong công tác triển khai các dự án năng lượng trọng điểm.</w:t>
            </w:r>
          </w:p>
        </w:tc>
        <w:tc>
          <w:tcPr>
            <w:tcW w:w="3641" w:type="dxa"/>
          </w:tcPr>
          <w:p w14:paraId="09042723" w14:textId="77777777" w:rsidR="000F45E2" w:rsidRPr="00931939" w:rsidRDefault="000F45E2" w:rsidP="000F45E2">
            <w:pPr>
              <w:spacing w:after="0"/>
              <w:rPr>
                <w:rFonts w:cs="Times New Roman"/>
                <w:b/>
                <w:sz w:val="24"/>
                <w:szCs w:val="24"/>
                <w:lang w:val="eu-ES"/>
              </w:rPr>
            </w:pPr>
          </w:p>
        </w:tc>
      </w:tr>
      <w:tr w:rsidR="00931939" w:rsidRPr="00931939" w14:paraId="04CCE714" w14:textId="77777777" w:rsidTr="002E0D9B">
        <w:tc>
          <w:tcPr>
            <w:tcW w:w="3640" w:type="dxa"/>
          </w:tcPr>
          <w:p w14:paraId="4C226DEB" w14:textId="77777777" w:rsidR="00D17BA0" w:rsidRPr="00931939" w:rsidRDefault="00D17BA0" w:rsidP="00D17BA0">
            <w:pPr>
              <w:spacing w:after="0"/>
              <w:jc w:val="both"/>
              <w:rPr>
                <w:rFonts w:cs="Times New Roman"/>
                <w:b/>
                <w:sz w:val="24"/>
                <w:szCs w:val="24"/>
                <w:lang w:val="eu-ES"/>
              </w:rPr>
            </w:pPr>
            <w:r w:rsidRPr="00931939">
              <w:rPr>
                <w:rFonts w:cs="Times New Roman"/>
                <w:b/>
                <w:sz w:val="24"/>
                <w:szCs w:val="24"/>
                <w:lang w:val="eu-ES"/>
              </w:rPr>
              <w:lastRenderedPageBreak/>
              <w:t>Điều 8. Điều kiện của doanh nghiệp lập hồ sơ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5FDFA8EF"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Ngoài các điều kiện theo quy định của pháp luật về điện lực, pháp luật về đấu thầu và pháp luật về đầu tư, doanh nghiệp lập hồ sơ đề nghị chấp thuận chủ trương đầu tư dự án điện gió ngoài khơi phải đáp ứng các điều kiện sau đây:</w:t>
            </w:r>
          </w:p>
          <w:p w14:paraId="2260CD7D" w14:textId="77777777" w:rsidR="00D17BA0" w:rsidRPr="00931939" w:rsidRDefault="00D17BA0" w:rsidP="00D17BA0">
            <w:pPr>
              <w:spacing w:after="0"/>
              <w:jc w:val="both"/>
              <w:rPr>
                <w:rFonts w:cs="Times New Roman"/>
                <w:sz w:val="24"/>
                <w:szCs w:val="24"/>
                <w:lang w:val="eu-ES"/>
              </w:rPr>
            </w:pPr>
            <w:r w:rsidRPr="00931939">
              <w:rPr>
                <w:rFonts w:cs="Times New Roman"/>
                <w:sz w:val="24"/>
                <w:szCs w:val="24"/>
                <w:lang w:val="eu-ES"/>
              </w:rPr>
              <w:t>1. Đáp ứng điều kiện theo quy định tại khoản 1 Điều 5 của Nghị định này;</w:t>
            </w:r>
          </w:p>
          <w:p w14:paraId="7C8D9239" w14:textId="76B80721" w:rsidR="008D53F1" w:rsidRPr="00931939" w:rsidRDefault="00D17BA0" w:rsidP="00D17BA0">
            <w:pPr>
              <w:spacing w:after="0"/>
              <w:jc w:val="both"/>
              <w:rPr>
                <w:rFonts w:cs="Times New Roman"/>
                <w:b/>
                <w:sz w:val="24"/>
                <w:szCs w:val="24"/>
                <w:lang w:val="eu-ES"/>
              </w:rPr>
            </w:pPr>
            <w:r w:rsidRPr="00931939">
              <w:rPr>
                <w:rFonts w:cs="Times New Roman"/>
                <w:sz w:val="24"/>
                <w:szCs w:val="24"/>
                <w:lang w:val="eu-ES"/>
              </w:rPr>
              <w:t>2. Có vốn chủ sở hữu tối thiểu không thấp hơn 20% tổng vốn đầu tư đối với mỗi dự án điện gió ngoài khơi đề xuất (không gồm vốn đã được giải ngân cho các dự án đang thực hiện và các khoản đầu tư tài chính dài hạn khác).</w:t>
            </w:r>
          </w:p>
        </w:tc>
        <w:tc>
          <w:tcPr>
            <w:tcW w:w="3640" w:type="dxa"/>
          </w:tcPr>
          <w:p w14:paraId="244D8AF4" w14:textId="77777777" w:rsidR="008D53F1" w:rsidRPr="00931939" w:rsidRDefault="008D53F1" w:rsidP="008D53F1">
            <w:pPr>
              <w:spacing w:before="60" w:after="0" w:line="240" w:lineRule="auto"/>
              <w:jc w:val="both"/>
              <w:rPr>
                <w:sz w:val="24"/>
                <w:szCs w:val="24"/>
              </w:rPr>
            </w:pPr>
            <w:r w:rsidRPr="00931939">
              <w:rPr>
                <w:b/>
                <w:sz w:val="24"/>
                <w:szCs w:val="24"/>
              </w:rPr>
              <w:t>Nghị quyết số 70-NQ/TW ngày 20/8/2025 của Bộ Chính trị:</w:t>
            </w:r>
          </w:p>
          <w:p w14:paraId="5E2F9B34" w14:textId="4DD88416" w:rsidR="008D53F1" w:rsidRPr="00931939" w:rsidRDefault="008D53F1" w:rsidP="008D53F1">
            <w:pPr>
              <w:spacing w:after="0"/>
              <w:jc w:val="both"/>
              <w:rPr>
                <w:rFonts w:cs="Times New Roman"/>
                <w:b/>
                <w:sz w:val="24"/>
                <w:szCs w:val="24"/>
                <w:lang w:val="eu-ES"/>
              </w:rPr>
            </w:pPr>
            <w:r w:rsidRPr="00931939">
              <w:rPr>
                <w:rFonts w:cs="Times New Roman"/>
                <w:sz w:val="24"/>
                <w:szCs w:val="24"/>
                <w:lang w:val="eu-ES"/>
              </w:rPr>
              <w:t>- Phần III, mục 3: “</w:t>
            </w:r>
            <w:r w:rsidRPr="00931939">
              <w:rPr>
                <w:rFonts w:cs="Times New Roman"/>
                <w:i/>
                <w:sz w:val="24"/>
                <w:szCs w:val="24"/>
                <w:lang w:val="eu-ES"/>
              </w:rPr>
              <w:t>nghiên cứu, giao nhiệm vụ cho một số doanh nghiệp lớn nhà nước, tư nhân có uy tín, thương hiệu, có thực lực để thực hiện nhiệm vụ phát triển các dự án điện gió ngoài khơi quy mô lớn gắn với bảo đảm quốc phòng, an ninh, bảo vệ chủ quyền biển, đảo.”</w:t>
            </w:r>
          </w:p>
        </w:tc>
        <w:tc>
          <w:tcPr>
            <w:tcW w:w="3641" w:type="dxa"/>
          </w:tcPr>
          <w:p w14:paraId="6361F587" w14:textId="06502AD8" w:rsidR="008D53F1" w:rsidRPr="00931939" w:rsidRDefault="008D53F1" w:rsidP="008D53F1">
            <w:pPr>
              <w:spacing w:after="0"/>
              <w:jc w:val="both"/>
              <w:rPr>
                <w:rFonts w:cs="Times New Roman"/>
                <w:b/>
                <w:sz w:val="24"/>
                <w:szCs w:val="24"/>
                <w:lang w:val="eu-ES"/>
              </w:rPr>
            </w:pPr>
            <w:r w:rsidRPr="00931939">
              <w:rPr>
                <w:rFonts w:cs="Times New Roman"/>
                <w:sz w:val="24"/>
                <w:szCs w:val="24"/>
                <w:lang w:val="eu-ES"/>
              </w:rPr>
              <w:t xml:space="preserve">- Quy định tại Điều 5 đã thể chế hóa một phần yêu cầu của Bộ Chính trị tại Nghị quyết số 70-NQ/TW về hoàn thiện thể chế về việc giao nhiệm vụ cho doanh nghiệp lớn có uy tín, thương hiệu, thực lực để thực hiện nhiệm vụ phát triển các dự án điện gió ngoài khơi có quy mô lớn gắn với bảo đảm quốc phòng, an ninh, bảo vệ chủ quyền biển, đảo. </w:t>
            </w:r>
          </w:p>
        </w:tc>
        <w:tc>
          <w:tcPr>
            <w:tcW w:w="3641" w:type="dxa"/>
          </w:tcPr>
          <w:p w14:paraId="40151B80" w14:textId="77777777" w:rsidR="008D53F1" w:rsidRPr="00931939" w:rsidRDefault="008D53F1" w:rsidP="008D53F1">
            <w:pPr>
              <w:spacing w:after="0"/>
              <w:rPr>
                <w:rFonts w:cs="Times New Roman"/>
                <w:b/>
                <w:sz w:val="24"/>
                <w:szCs w:val="24"/>
                <w:lang w:val="eu-ES"/>
              </w:rPr>
            </w:pPr>
          </w:p>
        </w:tc>
      </w:tr>
      <w:tr w:rsidR="00931939" w:rsidRPr="00931939" w14:paraId="1FBD9450" w14:textId="77777777" w:rsidTr="002E0D9B">
        <w:tc>
          <w:tcPr>
            <w:tcW w:w="3640" w:type="dxa"/>
          </w:tcPr>
          <w:p w14:paraId="2FB9ED2D" w14:textId="77777777" w:rsidR="00341277" w:rsidRPr="00931939" w:rsidRDefault="00341277" w:rsidP="00341277">
            <w:pPr>
              <w:spacing w:after="0"/>
              <w:jc w:val="both"/>
              <w:rPr>
                <w:rFonts w:cs="Times New Roman"/>
                <w:b/>
                <w:sz w:val="24"/>
                <w:szCs w:val="24"/>
                <w:lang w:val="eu-ES"/>
              </w:rPr>
            </w:pPr>
            <w:r w:rsidRPr="00931939">
              <w:rPr>
                <w:rFonts w:cs="Times New Roman"/>
                <w:b/>
                <w:sz w:val="24"/>
                <w:szCs w:val="24"/>
                <w:lang w:val="eu-ES"/>
              </w:rPr>
              <w:t xml:space="preserve">Điều 9. Việc tiếp nhận, giải quyết hồ sơ đề nghị chấp thuận chủ trương đầu tư dự án điện gió ngoài khơi; việc tiếp nhận, giải </w:t>
            </w:r>
            <w:r w:rsidRPr="00931939">
              <w:rPr>
                <w:rFonts w:cs="Times New Roman"/>
                <w:b/>
                <w:sz w:val="24"/>
                <w:szCs w:val="24"/>
                <w:lang w:val="eu-ES"/>
              </w:rPr>
              <w:lastRenderedPageBreak/>
              <w:t>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2025 - 2030</w:t>
            </w:r>
          </w:p>
          <w:p w14:paraId="0ACC9AA3"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1. Bộ Nông nghiệp và Môi trường không giải quyết hồ sơ đề nghị khảo sát dự án điện gió ngoài khơi đối với các dự án điện gió ngoài khơi trong quy hoạch phát triển điện lực và có dự kiến giai đoạn vận hành năm 2025 - 2030.</w:t>
            </w:r>
          </w:p>
          <w:p w14:paraId="66551709"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2. Doanh nghiệp đáp ứng quy định tại Điều 8 của Nghị định nộp 01 bộ hồ sơ đề nghị chấp thuận chủ trương đầu tư dự án theo quy định tại khoản 1 Điều 7 của Nghị định này và kèm theo bản điện tử của hồ sơ gửi cho Bộ Tài chính.</w:t>
            </w:r>
          </w:p>
          <w:p w14:paraId="69619A78"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3. Thời gian tiếp nhận, gửi lấy ý kiến hồ sơ đề nghị chấp thuận chủ trương đầu tư thực hiện như sau:</w:t>
            </w:r>
          </w:p>
          <w:p w14:paraId="606FE481"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a) Bộ Tài chính công khai thông tin trên cổng thông tin điện tử của Bộ Tài chính về việc nhận hồ sơ đề nghị </w:t>
            </w:r>
            <w:r w:rsidRPr="00931939">
              <w:rPr>
                <w:rFonts w:cs="Times New Roman"/>
                <w:sz w:val="24"/>
                <w:szCs w:val="24"/>
                <w:lang w:val="eu-ES"/>
              </w:rPr>
              <w:lastRenderedPageBreak/>
              <w:t>chấp thuận chủ trương đầu tư điện gió ngoài khơi trong vòng 03 (ba) ngày làm việc từ ngày nhận được hồ sơ hợp lệ của nhà đầu tư;</w:t>
            </w:r>
          </w:p>
          <w:p w14:paraId="3F9E0CD1"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 Hồ sơ đề xuất gửi đến Bộ Tài chính trong thời hạn 20 (hai mươi) ngày kể từ thời điểm nhận được hồ sơ hợp lệ đầu tiên của nhà đầu tư sẽ được Bộ Tài chính tiếp nhận, xem xét, giải quyết theo quy định;</w:t>
            </w:r>
          </w:p>
          <w:p w14:paraId="2D5E939B"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c) Trong thời hạn chưa có kết quả giải quyết hồ sơ tại điểm a, điểm b khoản này, Bộ Tài chính thông báo trên cổng dịch vụ công việc từ chối tiếp nhận, giải quyết các hồ sơ được gửi đến Bộ Tài chính sau 20 (hai mươi) ngày kể từ thời điểm Bộ Tài chính nhận được hồ sơ hợp lệ đầu tiên của nhà đầu tư.</w:t>
            </w:r>
          </w:p>
          <w:p w14:paraId="20516772"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4. Trường hợp có từ 02 (hai) nhà đầu tư trở lên cùng nộp hồ sơ hợp lệ đề nghị thực hiện cùng 01 (một) dự án điện gió ngoài khơi trong thời hạn 20 (hai mươi) ngày làm việc kể từ ngày nhận được hồ sơ hợp lệ của doanh nghiệp đầu tiên thì Bộ Tài chính thực hiện thủ tục sau:</w:t>
            </w:r>
          </w:p>
          <w:p w14:paraId="6DFA347D"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a) Thông báo bằng văn bản cho các doanh nghiệp nộp hồ sơ hợp lệ về việc thực hiện thủ tục chấp thuận </w:t>
            </w:r>
            <w:r w:rsidRPr="00931939">
              <w:rPr>
                <w:rFonts w:cs="Times New Roman"/>
                <w:sz w:val="24"/>
                <w:szCs w:val="24"/>
                <w:lang w:val="eu-ES"/>
              </w:rPr>
              <w:lastRenderedPageBreak/>
              <w:t xml:space="preserve">chủ trương đầu tư và lựa chọn nhà đầu tư theo quy định tại khoản này trong thời hạn 05 (năm) ngày làm việc kể từ ngày kết thúc tiếp nhận hồ sơ theo khoản 3 Điều này. </w:t>
            </w:r>
          </w:p>
          <w:p w14:paraId="32BC8277"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 Thực hiện thủ tục lấy ý kiến, thẩm định, chấp thuận chủ trương đầu tư trên cơ sở đề xuất dự án đầu tư của doanh nghiệp theo thứ tự ưu tiên như sau:</w:t>
            </w:r>
          </w:p>
          <w:p w14:paraId="04E5EE2B"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b1) Hồ sơ đề xuất do doanh nghiệp đã được giao khu vực biển để khảo sát dưới hình thức độc lập hoặc liên danh cho dự án tương ứng với khu vực được giao khảo sát; </w:t>
            </w:r>
          </w:p>
          <w:p w14:paraId="03EEA06C"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b2) Hồ sơ đề xuất có mức giảm giá điện (bằng tiền Việt Nam đồng) so với khung giá tương ứng tại năm đàm phán cao hơn; </w:t>
            </w:r>
          </w:p>
          <w:p w14:paraId="748CF692"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b3) Hồ sơ do doanh nghiệp đề xuất có tiến độ vận hành sớm hơn;</w:t>
            </w:r>
          </w:p>
          <w:p w14:paraId="5EDC26BD"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b4) Hồ sơ do doanh nghiệp đề xuất có tỷ lệ vốn chủ sở hữu cao hơn hoặc doanh nghiệp có năng lực tài chính, kinh nghiệm tốt hơn;</w:t>
            </w:r>
          </w:p>
          <w:p w14:paraId="3EC7097C"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b5) Thời gian nộp hồ sơ hợp lệ sớm hơn. </w:t>
            </w:r>
          </w:p>
          <w:p w14:paraId="74C3B84E"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c) Trường hợp hồ sơ do doanh nghiệp đề xuất có thứ tự ưu tiên cao nhất không đáp ứng các nội dung </w:t>
            </w:r>
            <w:r w:rsidRPr="00931939">
              <w:rPr>
                <w:rFonts w:cs="Times New Roman"/>
                <w:sz w:val="24"/>
                <w:szCs w:val="24"/>
                <w:lang w:val="eu-ES"/>
              </w:rPr>
              <w:lastRenderedPageBreak/>
              <w:t>thẩm định thì thực hiện thủ tục lấy ý kiến, thẩm định, chấp thuận chủ trương đầu tư đối với hồ sơ do doanh nghiệp đề xuất theo nguyên tắc thứ tự ưu tiên tại điểm b khoản này.</w:t>
            </w:r>
          </w:p>
          <w:p w14:paraId="13827582"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5. Trường hợp quá thời hạn 20 (hai mươi) ngày làm việc kể từ ngày nhận được hồ sơ hợp lệ đầu tiên nhưng chỉ có 01 (một) doanh nghiệp đề xuất chấp thuận chủ trương đầu tư đồng thời nhà đầu tư thì Bộ Tài chính tổ chức thẩm định để trình Thủ tướng Chính phủ quyết định chấp thuận chủ trương đầu tư đồng thời chấp thuận nhà đầu tư dự án theo quy định của pháp luật về đầu tư.</w:t>
            </w:r>
          </w:p>
          <w:p w14:paraId="0EE2C8BB"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6. Bên mua điện thực hiện đàm phán, giao kết hợp đồng mua bán điện với doanh nghiệp được chấp thuận chủ trương đầu tư đồng thời chấp thuận nhà đầu tư theo quy định hiện hành và cam kết về mức giảm giá điện của doanh nghiệp trong hồ sơ đề nghị chấp thuận chủ trương đầu tư được cấp có thẩm quyền phê duyệt.</w:t>
            </w:r>
          </w:p>
          <w:p w14:paraId="55A81C52" w14:textId="2D3B72DE" w:rsidR="00CC7FDF"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7. Nội dung thẩm định hồ sơ đề nghị chấp thuận chủ trương đầu tư đồng </w:t>
            </w:r>
            <w:r w:rsidRPr="00931939">
              <w:rPr>
                <w:rFonts w:cs="Times New Roman"/>
                <w:sz w:val="24"/>
                <w:szCs w:val="24"/>
                <w:lang w:val="eu-ES"/>
              </w:rPr>
              <w:lastRenderedPageBreak/>
              <w:t>thời chấp thuận nhà đầu tư điện gió ngoài khơi theo quy định của pháp luật về đầu tư và đánh giá điều kiện về quốc phòng, an ninh, chủ quyền quốc gia, tài nguyên - môi trường biển và hải đảo, hàng hải, dầu khí, du lịch.</w:t>
            </w:r>
          </w:p>
        </w:tc>
        <w:tc>
          <w:tcPr>
            <w:tcW w:w="3640" w:type="dxa"/>
          </w:tcPr>
          <w:p w14:paraId="597BFFF8" w14:textId="77777777" w:rsidR="00CC7FDF" w:rsidRPr="00931939" w:rsidRDefault="00CC7FDF" w:rsidP="00CC7FDF">
            <w:pPr>
              <w:spacing w:after="0"/>
              <w:jc w:val="both"/>
              <w:rPr>
                <w:rFonts w:cs="Times New Roman"/>
                <w:sz w:val="24"/>
                <w:szCs w:val="24"/>
                <w:lang w:val="eu-ES"/>
              </w:rPr>
            </w:pPr>
            <w:r w:rsidRPr="00931939">
              <w:rPr>
                <w:rFonts w:cs="Times New Roman"/>
                <w:sz w:val="24"/>
                <w:szCs w:val="24"/>
                <w:lang w:val="eu-ES"/>
              </w:rPr>
              <w:lastRenderedPageBreak/>
              <w:t>Nghị quyết số 70-NQ/TW ngày 20/8/2025 của Bộ Chính trị:</w:t>
            </w:r>
          </w:p>
          <w:p w14:paraId="5EB5FA09" w14:textId="77777777" w:rsidR="00CC7FDF" w:rsidRPr="00931939" w:rsidRDefault="00CC7FDF" w:rsidP="00CC7FDF">
            <w:pPr>
              <w:spacing w:before="60" w:after="0" w:line="240" w:lineRule="auto"/>
              <w:jc w:val="both"/>
              <w:rPr>
                <w:rFonts w:cs="Times New Roman"/>
                <w:i/>
                <w:sz w:val="24"/>
                <w:szCs w:val="24"/>
                <w:lang w:val="eu-ES"/>
              </w:rPr>
            </w:pPr>
            <w:r w:rsidRPr="00931939">
              <w:rPr>
                <w:rFonts w:cs="Times New Roman"/>
                <w:sz w:val="24"/>
                <w:szCs w:val="24"/>
                <w:lang w:val="eu-ES"/>
              </w:rPr>
              <w:t>- Phần III, mục 3:</w:t>
            </w:r>
            <w:r w:rsidRPr="00931939">
              <w:rPr>
                <w:rFonts w:cs="Times New Roman"/>
                <w:i/>
                <w:sz w:val="24"/>
                <w:szCs w:val="24"/>
                <w:lang w:val="eu-ES"/>
              </w:rPr>
              <w:t xml:space="preserve">“Khẩn trương tháo gỡ khó khăn, vướng mắc, đẩy </w:t>
            </w:r>
            <w:r w:rsidRPr="00931939">
              <w:rPr>
                <w:rFonts w:cs="Times New Roman"/>
                <w:i/>
                <w:sz w:val="24"/>
                <w:szCs w:val="24"/>
                <w:lang w:val="eu-ES"/>
              </w:rPr>
              <w:lastRenderedPageBreak/>
              <w:t>nhanh tiến độ triển khai các dự án năng lượng trọng điểm, đặc biệt là các dự án nguồn điện và lưới điện truyền tải”</w:t>
            </w:r>
            <w:r w:rsidR="00B25DC3" w:rsidRPr="00931939">
              <w:rPr>
                <w:rFonts w:cs="Times New Roman"/>
                <w:i/>
                <w:sz w:val="24"/>
                <w:szCs w:val="24"/>
                <w:lang w:val="eu-ES"/>
              </w:rPr>
              <w:t>;</w:t>
            </w:r>
          </w:p>
          <w:p w14:paraId="2D534A9C" w14:textId="41C932FD" w:rsidR="00B25DC3" w:rsidRPr="00931939" w:rsidRDefault="00B25DC3" w:rsidP="00CC7FDF">
            <w:pPr>
              <w:spacing w:before="60" w:after="0" w:line="240" w:lineRule="auto"/>
              <w:jc w:val="both"/>
              <w:rPr>
                <w:b/>
                <w:sz w:val="24"/>
                <w:szCs w:val="24"/>
              </w:rPr>
            </w:pPr>
          </w:p>
        </w:tc>
        <w:tc>
          <w:tcPr>
            <w:tcW w:w="3641" w:type="dxa"/>
          </w:tcPr>
          <w:p w14:paraId="6F620DD3" w14:textId="76F615CC" w:rsidR="00CC7FDF" w:rsidRPr="00931939" w:rsidRDefault="00CC7FDF" w:rsidP="00CC7FDF">
            <w:pPr>
              <w:spacing w:after="0"/>
              <w:jc w:val="both"/>
              <w:rPr>
                <w:rFonts w:cs="Times New Roman"/>
                <w:sz w:val="24"/>
                <w:szCs w:val="24"/>
                <w:lang w:val="eu-ES"/>
              </w:rPr>
            </w:pPr>
            <w:r w:rsidRPr="00931939">
              <w:rPr>
                <w:rFonts w:cs="Times New Roman"/>
                <w:sz w:val="24"/>
                <w:szCs w:val="24"/>
                <w:lang w:val="eu-ES"/>
              </w:rPr>
              <w:lastRenderedPageBreak/>
              <w:t xml:space="preserve">Quy định tại Điều 7 đã thể chế hóa một phần yêu cầu của Bộ Chính trị tại Nghị quyết số 70-NQ/TW về hoàn thiện thể chế, tháo gỡ điểm </w:t>
            </w:r>
            <w:r w:rsidRPr="00931939">
              <w:rPr>
                <w:rFonts w:cs="Times New Roman"/>
                <w:sz w:val="24"/>
                <w:szCs w:val="24"/>
                <w:lang w:val="eu-ES"/>
              </w:rPr>
              <w:lastRenderedPageBreak/>
              <w:t>nghẽn trong công tác triển khai các dự án năng lượng trọng điểm.</w:t>
            </w:r>
          </w:p>
        </w:tc>
        <w:tc>
          <w:tcPr>
            <w:tcW w:w="3641" w:type="dxa"/>
          </w:tcPr>
          <w:p w14:paraId="1FB9389D" w14:textId="77777777" w:rsidR="00CC7FDF" w:rsidRPr="00931939" w:rsidRDefault="00CC7FDF" w:rsidP="00CC7FDF">
            <w:pPr>
              <w:spacing w:after="0"/>
              <w:rPr>
                <w:rFonts w:cs="Times New Roman"/>
                <w:b/>
                <w:sz w:val="24"/>
                <w:szCs w:val="24"/>
                <w:lang w:val="eu-ES"/>
              </w:rPr>
            </w:pPr>
          </w:p>
        </w:tc>
      </w:tr>
      <w:tr w:rsidR="00931939" w:rsidRPr="00931939" w14:paraId="0D2A2722" w14:textId="77777777" w:rsidTr="002E0D9B">
        <w:tc>
          <w:tcPr>
            <w:tcW w:w="3640" w:type="dxa"/>
          </w:tcPr>
          <w:p w14:paraId="14DA875E" w14:textId="77777777" w:rsidR="00341277" w:rsidRPr="00931939" w:rsidRDefault="00341277" w:rsidP="00341277">
            <w:pPr>
              <w:spacing w:after="0"/>
              <w:jc w:val="both"/>
              <w:rPr>
                <w:rFonts w:cs="Times New Roman"/>
                <w:b/>
                <w:sz w:val="24"/>
                <w:szCs w:val="24"/>
                <w:lang w:val="eu-ES"/>
              </w:rPr>
            </w:pPr>
            <w:r w:rsidRPr="00931939">
              <w:rPr>
                <w:rFonts w:cs="Times New Roman"/>
                <w:b/>
                <w:sz w:val="24"/>
                <w:szCs w:val="24"/>
                <w:lang w:val="eu-ES"/>
              </w:rPr>
              <w:lastRenderedPageBreak/>
              <w:t>Điều 10.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 2035</w:t>
            </w:r>
          </w:p>
          <w:p w14:paraId="1E87D9A6"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1. Sở Tài chính, Cơ quan đăng ký đầu tư thuộc Uỷ ban nhân dân cấp tỉnh nơi có điểm gom công suất dự án điện gió ngoài khơi không tiếp nhận hồ sơ đề nghị chấp thuận chủ trương đầu tư đối với các dự án điện gió ngoài khơi trong quy hoạch phát triển điện lực và dự kiến vận hành trong giai đoạn 2031 – 2035 khi </w:t>
            </w:r>
            <w:r w:rsidRPr="00931939">
              <w:rPr>
                <w:rFonts w:cs="Times New Roman"/>
                <w:sz w:val="24"/>
                <w:szCs w:val="24"/>
                <w:lang w:val="eu-ES"/>
              </w:rPr>
              <w:lastRenderedPageBreak/>
              <w:t>chưa có kết quả khảo sát thực địa dự án.</w:t>
            </w:r>
          </w:p>
          <w:p w14:paraId="5CB56721"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2. Bộ Nông nghiệp và Môi trường tiếp nhận hồ sơ đề xuất khảo sát dự án điện gió ngoài khơi trong quy hoạch phát triển điện lực và dự kiến vận hành trong giai đoạn 2031 – 2035, thực hiện thẩm định theo quy định của pháp luật về tài nguyên, môi trường biển và hải đảo. Bộ Nông nghiệp và Môi trường có trách nghiệm gửi kết quả xử lý cho Bộ Công Thương, Uỷ ban nhân dân cấp tỉnh nơi có điểm gom công suất dự án điện gió ngoài khơi.</w:t>
            </w:r>
          </w:p>
          <w:p w14:paraId="3642552D"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3. Doanh nghiệp đáp ứng quy định tại Điều 8 của Nghị định này nộp 01 (một) bộ hồ sơ đề nghị chấp thuận chủ trương đầu tư dự án theo quy định tại khoản 2 Điều 7 của Nghị định này và kèm theo bản điện tử của hồ sơ gửi cho Sở Tài chính, Cơ quan đăng ký đầu tư thuộc Uỷ ban nhân dân cấp tỉnh nơi có điểm gom công suất dự án điện gió ngoài khơi. Sở Tài chính, Cơ quan đăng ký đầu tư thuộc Uỷ ban nhân dân cấp tỉnh nơi có điểm gom công suất dự án điện gió ngoài khơi tổ chức thẩm </w:t>
            </w:r>
            <w:r w:rsidRPr="00931939">
              <w:rPr>
                <w:rFonts w:cs="Times New Roman"/>
                <w:sz w:val="24"/>
                <w:szCs w:val="24"/>
                <w:lang w:val="eu-ES"/>
              </w:rPr>
              <w:lastRenderedPageBreak/>
              <w:t>định theo quy định của pháp luật hiện hành.</w:t>
            </w:r>
          </w:p>
          <w:p w14:paraId="29CA6050"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4. Nội dung thẩm định hồ sơ đề nghị chấp thuận chủ trương đầu tư theo quy định của pháp luật về đầu tư và đánh giá điều kiện về quốc phòng, an ninh, chủ quyền quốc gia, tài nguyên, môi trường biển và hải đảo, hàng hải, dầu khí, du lịch.</w:t>
            </w:r>
          </w:p>
          <w:p w14:paraId="53DDA30B"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Điều 11. Tổ chức thực hiện</w:t>
            </w:r>
          </w:p>
          <w:p w14:paraId="78C4CFDC"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1. Bộ Công Thương có trách nhiệm chủ trì, phối hợp với các cơ quan, tổ chức liên quan thực hiện:</w:t>
            </w:r>
          </w:p>
          <w:p w14:paraId="31671638"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a) Hướng dẫn, kiểm tra các tổ chức, cá nhân thực hiện Nghị định này;</w:t>
            </w:r>
          </w:p>
          <w:p w14:paraId="5ACC4061"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 Hằng năm, trước ngày 25 tháng 12, định kỳ tổng kết, đánh giá kết quả thực hiện Nghị định này và báo cáo Chính phủ xem xét, sửa đổi phù hợp với thực tiễn;</w:t>
            </w:r>
          </w:p>
          <w:p w14:paraId="68CEA180"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c) Lập báo cáo sơ kết ba (03) năm thực hiện để tham mưu cho Chính phủ báo cáo Quốc hội tại kỳ họp cuối năm 2028; lập báo cáo tổng kết thực hiện để tham mưu cho Chính phủ báo cáo Quốc hội tại kỳ họp cuối năm 2030.</w:t>
            </w:r>
          </w:p>
          <w:p w14:paraId="5A16AAA7"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 xml:space="preserve">2. Bộ Nông nghiệp và Môi trường, Bộ Tài chính, Bộ Quốc phòng, Bộ Công an, Bộ Ngoại giao, Bộ Xây </w:t>
            </w:r>
            <w:r w:rsidRPr="00931939">
              <w:rPr>
                <w:rFonts w:cs="Times New Roman"/>
                <w:sz w:val="24"/>
                <w:szCs w:val="24"/>
                <w:lang w:val="eu-ES"/>
              </w:rPr>
              <w:lastRenderedPageBreak/>
              <w:t>dựng, Bộ Văn hoá, Thể thao và Du lịch, Ủy ban nhân dân cấp tỉnh:</w:t>
            </w:r>
          </w:p>
          <w:p w14:paraId="329DABE0"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a) Tổ chức triển khai thực hiện, kiểm tra thi hành Nghị định này;</w:t>
            </w:r>
          </w:p>
          <w:p w14:paraId="65D776BB" w14:textId="77777777" w:rsidR="00341277" w:rsidRPr="00931939" w:rsidRDefault="00341277" w:rsidP="00341277">
            <w:pPr>
              <w:spacing w:after="0"/>
              <w:jc w:val="both"/>
              <w:rPr>
                <w:rFonts w:cs="Times New Roman"/>
                <w:sz w:val="24"/>
                <w:szCs w:val="24"/>
                <w:lang w:val="eu-ES"/>
              </w:rPr>
            </w:pPr>
            <w:r w:rsidRPr="00931939">
              <w:rPr>
                <w:rFonts w:cs="Times New Roman"/>
                <w:sz w:val="24"/>
                <w:szCs w:val="24"/>
                <w:lang w:val="eu-ES"/>
              </w:rPr>
              <w:t>b) Hằng năm, trước ngày 15 tháng 12, có trách nhiệm tổng kết, đánh giá việc thực hiện Nghị định này gửi Bộ Công Thương.</w:t>
            </w:r>
          </w:p>
          <w:p w14:paraId="22F6399C" w14:textId="15F2D348" w:rsidR="00296258" w:rsidRPr="00931939" w:rsidRDefault="00341277" w:rsidP="00341277">
            <w:pPr>
              <w:spacing w:after="0"/>
              <w:jc w:val="both"/>
              <w:rPr>
                <w:rFonts w:cs="Times New Roman"/>
                <w:sz w:val="24"/>
                <w:szCs w:val="24"/>
                <w:lang w:val="eu-ES"/>
              </w:rPr>
            </w:pPr>
            <w:r w:rsidRPr="00931939">
              <w:rPr>
                <w:rFonts w:cs="Times New Roman"/>
                <w:sz w:val="24"/>
                <w:szCs w:val="24"/>
                <w:lang w:val="eu-ES"/>
              </w:rPr>
              <w:t>3.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tc>
        <w:tc>
          <w:tcPr>
            <w:tcW w:w="3640" w:type="dxa"/>
          </w:tcPr>
          <w:p w14:paraId="02627476" w14:textId="77777777" w:rsidR="00296258" w:rsidRPr="00931939" w:rsidRDefault="00296258" w:rsidP="00296258">
            <w:pPr>
              <w:spacing w:after="0"/>
              <w:jc w:val="both"/>
              <w:rPr>
                <w:rFonts w:cs="Times New Roman"/>
                <w:sz w:val="24"/>
                <w:szCs w:val="24"/>
                <w:lang w:val="eu-ES"/>
              </w:rPr>
            </w:pPr>
            <w:r w:rsidRPr="00931939">
              <w:rPr>
                <w:rFonts w:cs="Times New Roman"/>
                <w:sz w:val="24"/>
                <w:szCs w:val="24"/>
                <w:lang w:val="eu-ES"/>
              </w:rPr>
              <w:lastRenderedPageBreak/>
              <w:t>Nghị quyết số 70-NQ/TW ngày 20/8/2025 của Bộ Chính trị:</w:t>
            </w:r>
          </w:p>
          <w:p w14:paraId="161A7988" w14:textId="77777777" w:rsidR="00296258" w:rsidRPr="00931939" w:rsidRDefault="00296258" w:rsidP="00296258">
            <w:pPr>
              <w:spacing w:before="60" w:after="0" w:line="240" w:lineRule="auto"/>
              <w:jc w:val="both"/>
              <w:rPr>
                <w:rFonts w:cs="Times New Roman"/>
                <w:i/>
                <w:sz w:val="24"/>
                <w:szCs w:val="24"/>
                <w:lang w:val="eu-ES"/>
              </w:rPr>
            </w:pPr>
            <w:r w:rsidRPr="00931939">
              <w:rPr>
                <w:rFonts w:cs="Times New Roman"/>
                <w:sz w:val="24"/>
                <w:szCs w:val="24"/>
                <w:lang w:val="eu-ES"/>
              </w:rPr>
              <w:t>- Phần III, mục 3:</w:t>
            </w:r>
            <w:r w:rsidRPr="00931939">
              <w:rPr>
                <w:rFonts w:cs="Times New Roman"/>
                <w:i/>
                <w:sz w:val="24"/>
                <w:szCs w:val="24"/>
                <w:lang w:val="eu-ES"/>
              </w:rPr>
              <w:t>“Khẩn trương tháo gỡ khó khăn, vướng mắc, đẩy nhanh tiến độ triển khai các dự án năng lượng trọng điểm, đặc biệt là các dự án nguồn điện và lưới điện truyền tải”;</w:t>
            </w:r>
          </w:p>
          <w:p w14:paraId="5B0CCE3E" w14:textId="77777777" w:rsidR="00296258" w:rsidRPr="00931939" w:rsidRDefault="00296258" w:rsidP="00296258">
            <w:pPr>
              <w:spacing w:after="0"/>
              <w:jc w:val="both"/>
              <w:rPr>
                <w:rFonts w:cs="Times New Roman"/>
                <w:sz w:val="24"/>
                <w:szCs w:val="24"/>
                <w:lang w:val="eu-ES"/>
              </w:rPr>
            </w:pPr>
          </w:p>
        </w:tc>
        <w:tc>
          <w:tcPr>
            <w:tcW w:w="3641" w:type="dxa"/>
          </w:tcPr>
          <w:p w14:paraId="1550FFAF" w14:textId="10B525C3" w:rsidR="00296258" w:rsidRPr="00931939" w:rsidRDefault="00296258" w:rsidP="00296258">
            <w:pPr>
              <w:spacing w:after="0"/>
              <w:jc w:val="both"/>
              <w:rPr>
                <w:rFonts w:cs="Times New Roman"/>
                <w:sz w:val="24"/>
                <w:szCs w:val="24"/>
                <w:lang w:val="eu-ES"/>
              </w:rPr>
            </w:pPr>
            <w:r w:rsidRPr="00931939">
              <w:rPr>
                <w:rFonts w:cs="Times New Roman"/>
                <w:sz w:val="24"/>
                <w:szCs w:val="24"/>
                <w:lang w:val="eu-ES"/>
              </w:rPr>
              <w:t>Quy định tại Điều 7 đã thể chế hóa một phần yêu cầu của Bộ Chính trị tại Nghị quyết số 70-NQ/TW về hoàn thiện thể chế, tháo gỡ điểm nghẽn trong công tác triển khai các dự án năng lượng trọng điểm.</w:t>
            </w:r>
          </w:p>
        </w:tc>
        <w:tc>
          <w:tcPr>
            <w:tcW w:w="3641" w:type="dxa"/>
          </w:tcPr>
          <w:p w14:paraId="5F6DAA46" w14:textId="77777777" w:rsidR="00296258" w:rsidRPr="00931939" w:rsidRDefault="00296258" w:rsidP="00296258">
            <w:pPr>
              <w:spacing w:after="0"/>
              <w:rPr>
                <w:rFonts w:cs="Times New Roman"/>
                <w:b/>
                <w:sz w:val="24"/>
                <w:szCs w:val="24"/>
                <w:lang w:val="eu-ES"/>
              </w:rPr>
            </w:pPr>
          </w:p>
        </w:tc>
      </w:tr>
    </w:tbl>
    <w:p w14:paraId="53C3061A" w14:textId="54AB5D5B" w:rsidR="00CF5357" w:rsidRPr="00931939" w:rsidRDefault="00CF5357" w:rsidP="00CF5357">
      <w:pPr>
        <w:shd w:val="clear" w:color="auto" w:fill="FFFFFF"/>
        <w:spacing w:before="120" w:after="120" w:line="234" w:lineRule="atLeast"/>
        <w:rPr>
          <w:rFonts w:eastAsia="Times New Roman"/>
          <w:b/>
          <w:bCs/>
          <w:sz w:val="26"/>
          <w:szCs w:val="26"/>
        </w:rPr>
      </w:pPr>
      <w:r w:rsidRPr="00931939">
        <w:rPr>
          <w:rFonts w:eastAsia="Times New Roman"/>
          <w:b/>
          <w:bCs/>
          <w:sz w:val="26"/>
          <w:szCs w:val="26"/>
          <w:lang w:val="vi-VN"/>
        </w:rPr>
        <w:lastRenderedPageBreak/>
        <w:t xml:space="preserve">2. Văn bản quy phạm pháp luật có liên quan đến </w:t>
      </w:r>
      <w:r w:rsidR="003D32CD" w:rsidRPr="00931939">
        <w:rPr>
          <w:rFonts w:eastAsia="Times New Roman"/>
          <w:b/>
          <w:bCs/>
          <w:sz w:val="26"/>
          <w:szCs w:val="26"/>
        </w:rPr>
        <w:t>Nghị định</w:t>
      </w:r>
    </w:p>
    <w:tbl>
      <w:tblPr>
        <w:tblStyle w:val="TableGrid"/>
        <w:tblW w:w="0" w:type="auto"/>
        <w:tblLook w:val="04A0" w:firstRow="1" w:lastRow="0" w:firstColumn="1" w:lastColumn="0" w:noHBand="0" w:noVBand="1"/>
      </w:tblPr>
      <w:tblGrid>
        <w:gridCol w:w="3640"/>
        <w:gridCol w:w="3640"/>
        <w:gridCol w:w="3641"/>
        <w:gridCol w:w="3641"/>
      </w:tblGrid>
      <w:tr w:rsidR="00931939" w:rsidRPr="00931939" w14:paraId="20D3076B" w14:textId="77777777" w:rsidTr="00722DDE">
        <w:tc>
          <w:tcPr>
            <w:tcW w:w="3640" w:type="dxa"/>
          </w:tcPr>
          <w:p w14:paraId="344BBC2F" w14:textId="4BC9DEAA" w:rsidR="00C20382" w:rsidRPr="00931939" w:rsidRDefault="00C20382" w:rsidP="00C20382">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CHÍNH SÁCH/ QUY ĐỊNH CỦA DỰ THẢO VĂN BẢN</w:t>
            </w:r>
          </w:p>
        </w:tc>
        <w:tc>
          <w:tcPr>
            <w:tcW w:w="3640" w:type="dxa"/>
          </w:tcPr>
          <w:p w14:paraId="587F21DA" w14:textId="61BE38B3" w:rsidR="00C20382" w:rsidRPr="00931939" w:rsidRDefault="00C20382" w:rsidP="00C20382">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QUY ĐỊNH CỦA PHÁP LUẬT HIỆN HÀNH CÓ LIÊN QUAN</w:t>
            </w:r>
          </w:p>
        </w:tc>
        <w:tc>
          <w:tcPr>
            <w:tcW w:w="3641" w:type="dxa"/>
            <w:vAlign w:val="center"/>
          </w:tcPr>
          <w:p w14:paraId="20428CAD" w14:textId="551630AA" w:rsidR="00C20382" w:rsidRPr="00931939" w:rsidRDefault="00C20382" w:rsidP="00C20382">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ĐÁNH GIÁ (Tính hợp hiến, tính hợp pháp, t</w:t>
            </w:r>
            <w:r w:rsidRPr="00931939">
              <w:rPr>
                <w:rFonts w:eastAsia="Times New Roman" w:cs="Times New Roman"/>
                <w:b/>
                <w:bCs/>
                <w:sz w:val="26"/>
                <w:szCs w:val="26"/>
                <w14:ligatures w14:val="none"/>
              </w:rPr>
              <w:t>í</w:t>
            </w:r>
            <w:r w:rsidRPr="00931939">
              <w:rPr>
                <w:rFonts w:eastAsia="Times New Roman" w:cs="Times New Roman"/>
                <w:b/>
                <w:bCs/>
                <w:sz w:val="26"/>
                <w:szCs w:val="26"/>
                <w:lang w:val="vi-VN"/>
                <w14:ligatures w14:val="none"/>
              </w:rPr>
              <w:t>nh thống nhất của chính sách/dự thảo văn bản)</w:t>
            </w:r>
          </w:p>
        </w:tc>
        <w:tc>
          <w:tcPr>
            <w:tcW w:w="3641" w:type="dxa"/>
          </w:tcPr>
          <w:p w14:paraId="341B9294" w14:textId="29363B08" w:rsidR="00C20382" w:rsidRPr="00931939" w:rsidRDefault="00C20382" w:rsidP="00C20382">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Đ</w:t>
            </w:r>
            <w:r w:rsidRPr="00931939">
              <w:rPr>
                <w:rFonts w:eastAsia="Times New Roman" w:cs="Times New Roman"/>
                <w:b/>
                <w:bCs/>
                <w:sz w:val="26"/>
                <w:szCs w:val="26"/>
                <w14:ligatures w14:val="none"/>
              </w:rPr>
              <w:t>Ề</w:t>
            </w:r>
            <w:r w:rsidRPr="00931939">
              <w:rPr>
                <w:rFonts w:eastAsia="Times New Roman" w:cs="Times New Roman"/>
                <w:b/>
                <w:bCs/>
                <w:sz w:val="26"/>
                <w:szCs w:val="26"/>
                <w:lang w:val="vi-VN"/>
                <w14:ligatures w14:val="none"/>
              </w:rPr>
              <w:t> XUẤT XỬ LÝ</w:t>
            </w:r>
          </w:p>
        </w:tc>
      </w:tr>
      <w:tr w:rsidR="00931939" w:rsidRPr="00931939" w14:paraId="1DB78A3A" w14:textId="77777777" w:rsidTr="00C20382">
        <w:tc>
          <w:tcPr>
            <w:tcW w:w="3640" w:type="dxa"/>
          </w:tcPr>
          <w:p w14:paraId="5AD04A91" w14:textId="0842032A" w:rsidR="00C20382" w:rsidRPr="00931939" w:rsidRDefault="00C20382" w:rsidP="00C20382">
            <w:pPr>
              <w:spacing w:before="120" w:after="120" w:line="234" w:lineRule="atLeast"/>
              <w:rPr>
                <w:rFonts w:eastAsia="Times New Roman"/>
                <w:sz w:val="26"/>
                <w:szCs w:val="26"/>
              </w:rPr>
            </w:pPr>
            <w:r w:rsidRPr="00931939">
              <w:rPr>
                <w:rFonts w:cs="Times New Roman"/>
                <w:b/>
                <w:bCs/>
                <w:sz w:val="24"/>
                <w:szCs w:val="24"/>
                <w:lang w:val="vi-VN"/>
              </w:rPr>
              <w:t>Điều 1. Phạm vi điều chỉnh</w:t>
            </w:r>
          </w:p>
        </w:tc>
        <w:tc>
          <w:tcPr>
            <w:tcW w:w="3640" w:type="dxa"/>
          </w:tcPr>
          <w:p w14:paraId="03C98D72" w14:textId="77777777" w:rsidR="00C20382" w:rsidRPr="00931939" w:rsidRDefault="00C20382" w:rsidP="00C20382">
            <w:pPr>
              <w:spacing w:before="120" w:after="120" w:line="234" w:lineRule="atLeast"/>
              <w:rPr>
                <w:rFonts w:eastAsia="Times New Roman"/>
                <w:sz w:val="26"/>
                <w:szCs w:val="26"/>
              </w:rPr>
            </w:pPr>
          </w:p>
        </w:tc>
        <w:tc>
          <w:tcPr>
            <w:tcW w:w="3641" w:type="dxa"/>
          </w:tcPr>
          <w:p w14:paraId="6644100D" w14:textId="77777777" w:rsidR="00C20382" w:rsidRPr="00931939" w:rsidRDefault="00C20382" w:rsidP="00C20382">
            <w:pPr>
              <w:spacing w:before="120" w:after="120" w:line="234" w:lineRule="atLeast"/>
              <w:rPr>
                <w:rFonts w:eastAsia="Times New Roman"/>
                <w:sz w:val="26"/>
                <w:szCs w:val="26"/>
              </w:rPr>
            </w:pPr>
          </w:p>
        </w:tc>
        <w:tc>
          <w:tcPr>
            <w:tcW w:w="3641" w:type="dxa"/>
          </w:tcPr>
          <w:p w14:paraId="5C28A10E" w14:textId="77777777" w:rsidR="00C20382" w:rsidRPr="00931939" w:rsidRDefault="00C20382" w:rsidP="00C20382">
            <w:pPr>
              <w:spacing w:before="120" w:after="120" w:line="234" w:lineRule="atLeast"/>
              <w:rPr>
                <w:rFonts w:eastAsia="Times New Roman"/>
                <w:sz w:val="26"/>
                <w:szCs w:val="26"/>
              </w:rPr>
            </w:pPr>
          </w:p>
        </w:tc>
      </w:tr>
      <w:tr w:rsidR="00931939" w:rsidRPr="00931939" w14:paraId="1AAF3B73" w14:textId="77777777" w:rsidTr="00C20382">
        <w:tc>
          <w:tcPr>
            <w:tcW w:w="3640" w:type="dxa"/>
          </w:tcPr>
          <w:p w14:paraId="253E9B61" w14:textId="67801A61" w:rsidR="00C20382" w:rsidRPr="00931939" w:rsidRDefault="00C20382" w:rsidP="00C20382">
            <w:pPr>
              <w:spacing w:before="120" w:after="120" w:line="234" w:lineRule="atLeast"/>
              <w:rPr>
                <w:rFonts w:eastAsia="Times New Roman"/>
                <w:sz w:val="26"/>
                <w:szCs w:val="26"/>
              </w:rPr>
            </w:pPr>
            <w:r w:rsidRPr="00931939">
              <w:rPr>
                <w:rFonts w:cs="Times New Roman"/>
                <w:b/>
                <w:bCs/>
                <w:sz w:val="24"/>
                <w:szCs w:val="24"/>
                <w:lang w:val="vi-VN"/>
              </w:rPr>
              <w:t>Điều 2. Đối tượng áp dụng</w:t>
            </w:r>
          </w:p>
        </w:tc>
        <w:tc>
          <w:tcPr>
            <w:tcW w:w="3640" w:type="dxa"/>
          </w:tcPr>
          <w:p w14:paraId="6DDB9693" w14:textId="77777777" w:rsidR="00C20382" w:rsidRPr="00931939" w:rsidRDefault="00C20382" w:rsidP="00C20382">
            <w:pPr>
              <w:spacing w:before="120" w:after="120" w:line="234" w:lineRule="atLeast"/>
              <w:rPr>
                <w:rFonts w:eastAsia="Times New Roman"/>
                <w:sz w:val="26"/>
                <w:szCs w:val="26"/>
              </w:rPr>
            </w:pPr>
          </w:p>
        </w:tc>
        <w:tc>
          <w:tcPr>
            <w:tcW w:w="3641" w:type="dxa"/>
          </w:tcPr>
          <w:p w14:paraId="1C2C8A67" w14:textId="77777777" w:rsidR="00C20382" w:rsidRPr="00931939" w:rsidRDefault="00C20382" w:rsidP="00C20382">
            <w:pPr>
              <w:spacing w:before="120" w:after="120" w:line="234" w:lineRule="atLeast"/>
              <w:rPr>
                <w:rFonts w:eastAsia="Times New Roman"/>
                <w:sz w:val="26"/>
                <w:szCs w:val="26"/>
              </w:rPr>
            </w:pPr>
          </w:p>
        </w:tc>
        <w:tc>
          <w:tcPr>
            <w:tcW w:w="3641" w:type="dxa"/>
          </w:tcPr>
          <w:p w14:paraId="73C654C7" w14:textId="77777777" w:rsidR="00C20382" w:rsidRPr="00931939" w:rsidRDefault="00C20382" w:rsidP="00C20382">
            <w:pPr>
              <w:spacing w:before="120" w:after="120" w:line="234" w:lineRule="atLeast"/>
              <w:rPr>
                <w:rFonts w:eastAsia="Times New Roman"/>
                <w:sz w:val="26"/>
                <w:szCs w:val="26"/>
              </w:rPr>
            </w:pPr>
          </w:p>
        </w:tc>
      </w:tr>
      <w:tr w:rsidR="00931939" w:rsidRPr="00931939" w14:paraId="2272E7E4" w14:textId="77777777" w:rsidTr="00C20382">
        <w:tc>
          <w:tcPr>
            <w:tcW w:w="3640" w:type="dxa"/>
          </w:tcPr>
          <w:p w14:paraId="219C7DA9" w14:textId="77777777" w:rsidR="00C04776" w:rsidRPr="00931939" w:rsidRDefault="00C04776" w:rsidP="00C04776">
            <w:pPr>
              <w:spacing w:before="60" w:after="0" w:line="240" w:lineRule="auto"/>
              <w:jc w:val="both"/>
              <w:rPr>
                <w:b/>
                <w:sz w:val="24"/>
                <w:szCs w:val="24"/>
              </w:rPr>
            </w:pPr>
            <w:r w:rsidRPr="00931939">
              <w:rPr>
                <w:b/>
                <w:sz w:val="24"/>
                <w:szCs w:val="24"/>
              </w:rPr>
              <w:t xml:space="preserve">Điều 3. Nội dung và thành phần hồ sơ đề nghị điều chỉnh cập nhật quy hoạch; </w:t>
            </w:r>
          </w:p>
          <w:p w14:paraId="653CC9B7" w14:textId="0B8D7977" w:rsidR="00C04776" w:rsidRPr="00931939" w:rsidRDefault="00C04776" w:rsidP="00C04776">
            <w:pPr>
              <w:spacing w:before="120" w:after="120" w:line="234" w:lineRule="atLeast"/>
              <w:jc w:val="both"/>
              <w:rPr>
                <w:rFonts w:cs="Times New Roman"/>
                <w:b/>
                <w:bCs/>
                <w:sz w:val="24"/>
                <w:szCs w:val="24"/>
                <w:lang w:val="vi-VN"/>
              </w:rPr>
            </w:pPr>
            <w:r w:rsidRPr="00931939">
              <w:rPr>
                <w:b/>
                <w:sz w:val="24"/>
                <w:szCs w:val="24"/>
              </w:rPr>
              <w:lastRenderedPageBreak/>
              <w:t>Điều 4. Trình tự, thủ tục điều chỉnh cập nhật quy hoạch.</w:t>
            </w:r>
          </w:p>
        </w:tc>
        <w:tc>
          <w:tcPr>
            <w:tcW w:w="3640" w:type="dxa"/>
          </w:tcPr>
          <w:p w14:paraId="490EF7F8" w14:textId="77777777" w:rsidR="00C04776" w:rsidRPr="00931939" w:rsidRDefault="00C04776" w:rsidP="00C04776">
            <w:pPr>
              <w:spacing w:before="60" w:after="0" w:line="240" w:lineRule="auto"/>
              <w:jc w:val="both"/>
              <w:rPr>
                <w:sz w:val="24"/>
                <w:szCs w:val="24"/>
              </w:rPr>
            </w:pPr>
            <w:r w:rsidRPr="00931939">
              <w:rPr>
                <w:sz w:val="24"/>
                <w:szCs w:val="24"/>
              </w:rPr>
              <w:lastRenderedPageBreak/>
              <w:t xml:space="preserve">Khoản 4 Điều 4 Nghị quyết số 253/2025/QH15 quy định cơ chế đặc thù về điều chỉnh cập nhật quy hoạch phát triển điện lực và điều </w:t>
            </w:r>
            <w:r w:rsidRPr="00931939">
              <w:rPr>
                <w:sz w:val="24"/>
                <w:szCs w:val="24"/>
              </w:rPr>
              <w:lastRenderedPageBreak/>
              <w:t>chỉnh cập nhật phương án phát triển mạng lưới cấp điện trong Quy hoạch tỉnh; giao Chính phủ quy định chi tiết.</w:t>
            </w:r>
          </w:p>
          <w:p w14:paraId="5E4BBCE8" w14:textId="77777777" w:rsidR="00C04776" w:rsidRPr="00931939" w:rsidRDefault="00C04776" w:rsidP="00C04776">
            <w:pPr>
              <w:spacing w:before="60" w:after="0" w:line="240" w:lineRule="auto"/>
              <w:jc w:val="both"/>
              <w:rPr>
                <w:sz w:val="24"/>
                <w:szCs w:val="24"/>
              </w:rPr>
            </w:pPr>
            <w:r w:rsidRPr="00931939">
              <w:rPr>
                <w:sz w:val="24"/>
                <w:szCs w:val="24"/>
              </w:rPr>
              <w:t>Luật Quy hoạch số 21/2017/QH14 (đã được sửa đổi, bổ sung) và Nghị định số 37/2019/NĐ-CP (đã được sửa đổi, bổ sung) quy định về lập, thẩm định, phê duyệt và điều chỉnh quy hoạch, trong đó có nguyên tắc và trình tự điều chỉnh Quy hoạch tỉnh.</w:t>
            </w:r>
          </w:p>
          <w:p w14:paraId="68135881" w14:textId="1A9B0BFE" w:rsidR="00C04776" w:rsidRPr="00931939" w:rsidRDefault="00C04776" w:rsidP="00C04776">
            <w:pPr>
              <w:spacing w:before="120" w:after="120" w:line="234" w:lineRule="atLeast"/>
              <w:jc w:val="both"/>
              <w:rPr>
                <w:rFonts w:eastAsia="Times New Roman"/>
                <w:sz w:val="24"/>
                <w:szCs w:val="24"/>
              </w:rPr>
            </w:pPr>
            <w:r w:rsidRPr="00931939">
              <w:rPr>
                <w:sz w:val="24"/>
                <w:szCs w:val="24"/>
              </w:rPr>
              <w:t>Luật Điện lực số 61/2024/QH15 và Nghị định số 56/2025/NĐ-CP (đã được sửa đổi, bổ sung) quy định về quy hoạch phát triển điện lực và phương án phát triển mạng lưới cấp điện trong Quy hoạch tỉnh.</w:t>
            </w:r>
          </w:p>
        </w:tc>
        <w:tc>
          <w:tcPr>
            <w:tcW w:w="3641" w:type="dxa"/>
          </w:tcPr>
          <w:p w14:paraId="493743B3" w14:textId="14C338CC" w:rsidR="00C04776" w:rsidRPr="00931939" w:rsidRDefault="00C04776" w:rsidP="00C04776">
            <w:pPr>
              <w:spacing w:before="120" w:after="120" w:line="234" w:lineRule="atLeast"/>
              <w:jc w:val="both"/>
              <w:rPr>
                <w:rFonts w:eastAsia="Times New Roman"/>
                <w:sz w:val="24"/>
                <w:szCs w:val="24"/>
              </w:rPr>
            </w:pPr>
            <w:r w:rsidRPr="00931939">
              <w:rPr>
                <w:sz w:val="24"/>
                <w:szCs w:val="24"/>
              </w:rPr>
              <w:lastRenderedPageBreak/>
              <w:t xml:space="preserve">Quy định tại Điều 3 và Điều 4 dự thảo Nghị định là cần thiết nhằm cụ thể hóa cơ chế điều chỉnh cập nhật quy hoạch theo Nghị quyết số </w:t>
            </w:r>
            <w:r w:rsidRPr="00931939">
              <w:rPr>
                <w:sz w:val="24"/>
                <w:szCs w:val="24"/>
              </w:rPr>
              <w:lastRenderedPageBreak/>
              <w:t>253/2025/QH15; đồng thời bảo đảm thống nhất với Luật Quy hoạch và các văn bản hướng dẫn thi hành về điều chỉnh quy hoạch. Việc quy định rõ nội dung hồ sơ, trình tự thực hiện, thời hạn, trách nhiệm phối hợp và thẩm quyền thẩm định, phê duyệt sẽ tăng tính minh bạch, khả năng dự báo và rút ngắn thời gian xử lý, tạo thuận lợi cho triển khai các dự án nguồn và lưới điện, đáp ứng yêu cầu tháo gỡ điểm nghẽn và tăng tính linh hoạt trong công tác quy hoạch.</w:t>
            </w:r>
          </w:p>
        </w:tc>
        <w:tc>
          <w:tcPr>
            <w:tcW w:w="3641" w:type="dxa"/>
          </w:tcPr>
          <w:p w14:paraId="682D0703" w14:textId="77777777" w:rsidR="00C04776" w:rsidRPr="00931939" w:rsidRDefault="00C04776" w:rsidP="00C04776">
            <w:pPr>
              <w:spacing w:before="120" w:after="120" w:line="234" w:lineRule="atLeast"/>
              <w:rPr>
                <w:rFonts w:eastAsia="Times New Roman"/>
                <w:sz w:val="24"/>
                <w:szCs w:val="24"/>
              </w:rPr>
            </w:pPr>
          </w:p>
        </w:tc>
      </w:tr>
      <w:tr w:rsidR="00C40903" w:rsidRPr="00931939" w14:paraId="31C9784C" w14:textId="77777777" w:rsidTr="00C20382">
        <w:tc>
          <w:tcPr>
            <w:tcW w:w="3640" w:type="dxa"/>
          </w:tcPr>
          <w:p w14:paraId="0FF40FC8" w14:textId="77777777" w:rsidR="00931939" w:rsidRPr="00931939" w:rsidRDefault="00931939" w:rsidP="00931939">
            <w:pPr>
              <w:spacing w:before="60" w:after="0" w:line="240" w:lineRule="auto"/>
              <w:jc w:val="both"/>
              <w:rPr>
                <w:b/>
                <w:sz w:val="24"/>
                <w:szCs w:val="24"/>
              </w:rPr>
            </w:pPr>
            <w:r w:rsidRPr="00931939">
              <w:rPr>
                <w:b/>
                <w:sz w:val="24"/>
                <w:szCs w:val="24"/>
              </w:rPr>
              <w:t>Điều 5. Điều kiện của đơn vị khảo sát dự án điện gió ngoài khơi phục vụ lập chủ trương đầu tư dự án điện gió ngoài khơi</w:t>
            </w:r>
          </w:p>
          <w:p w14:paraId="210E359D" w14:textId="77777777" w:rsidR="00931939" w:rsidRPr="00931939" w:rsidRDefault="00931939" w:rsidP="00931939">
            <w:pPr>
              <w:spacing w:before="60" w:after="0" w:line="240" w:lineRule="auto"/>
              <w:jc w:val="both"/>
              <w:rPr>
                <w:sz w:val="24"/>
                <w:szCs w:val="24"/>
              </w:rPr>
            </w:pPr>
            <w:r w:rsidRPr="00931939">
              <w:rPr>
                <w:sz w:val="24"/>
                <w:szCs w:val="24"/>
              </w:rPr>
              <w:t>Ngoài các điều kiện và năng lực theo quy định hiện hành, doanh nghiệp đề xuất khảo sát dự án điện gió ngoài khơi phải đáp ứng các điều kiện sau:</w:t>
            </w:r>
          </w:p>
          <w:p w14:paraId="392B863A" w14:textId="77777777" w:rsidR="00931939" w:rsidRPr="00931939" w:rsidRDefault="00931939" w:rsidP="00931939">
            <w:pPr>
              <w:spacing w:before="60" w:after="0" w:line="240" w:lineRule="auto"/>
              <w:jc w:val="both"/>
              <w:rPr>
                <w:sz w:val="24"/>
                <w:szCs w:val="24"/>
              </w:rPr>
            </w:pPr>
            <w:r w:rsidRPr="00931939">
              <w:rPr>
                <w:sz w:val="24"/>
                <w:szCs w:val="24"/>
              </w:rPr>
              <w:t>1. Có vốn điều lệ tối thiểu 5.000 tỷ đồng, trường hợp liên danh thì vốn điều lệ được tính bằng tổng vốn điều lệ của các doanh nghiệp trong liên danh.</w:t>
            </w:r>
          </w:p>
          <w:p w14:paraId="55C92FC4" w14:textId="77777777" w:rsidR="00931939" w:rsidRPr="00931939" w:rsidRDefault="00931939" w:rsidP="00931939">
            <w:pPr>
              <w:spacing w:before="60" w:after="0" w:line="240" w:lineRule="auto"/>
              <w:jc w:val="both"/>
              <w:rPr>
                <w:sz w:val="24"/>
                <w:szCs w:val="24"/>
              </w:rPr>
            </w:pPr>
            <w:r w:rsidRPr="00931939">
              <w:rPr>
                <w:sz w:val="24"/>
                <w:szCs w:val="24"/>
              </w:rPr>
              <w:lastRenderedPageBreak/>
              <w:t>2. Đã đầu tư trực tiếp hoặc góp vốn đầu tư phát triển ít nhất một (01) dự án năng lượng (tổng vốn đầu tư không thấp hơn 10.000 tỷ đồng) được vận hành khai thác (trong vòng 05 năm gần nhất) tại Việt Nam, các nước trên thế giới (phần vốn trong dự án tối thiểu 5% tổng vốn đầu tư dự án) hoặc đã thực hiện một trong các hoạt động như quản lý dự án, thi công xây dựng dự án điện gió ngoài khơi tại Việt Nam hoặc các nước trên thế giới.</w:t>
            </w:r>
          </w:p>
          <w:p w14:paraId="60AB516F" w14:textId="223A6419" w:rsidR="00931939" w:rsidRPr="00931939" w:rsidRDefault="00931939" w:rsidP="00931939">
            <w:pPr>
              <w:spacing w:before="60" w:after="0" w:line="240" w:lineRule="auto"/>
              <w:jc w:val="both"/>
              <w:rPr>
                <w:sz w:val="24"/>
                <w:szCs w:val="24"/>
              </w:rPr>
            </w:pPr>
            <w:r w:rsidRPr="00931939">
              <w:rPr>
                <w:sz w:val="24"/>
                <w:szCs w:val="24"/>
              </w:rPr>
              <w:t>3. Các điều kiện tại khoản 1, khoản 2 Điều này không áp dụng cho đơn vị thực hiện tư vấn, cung cấp dịch vụ khảo sát điện gió ngoài khơi, trừ trường hợp đơn vị khảo sát tự thực hiện.</w:t>
            </w:r>
          </w:p>
        </w:tc>
        <w:tc>
          <w:tcPr>
            <w:tcW w:w="3640" w:type="dxa"/>
          </w:tcPr>
          <w:p w14:paraId="7D3ADCA0" w14:textId="77777777" w:rsidR="00031509" w:rsidRPr="00031509" w:rsidRDefault="00031509" w:rsidP="00031509">
            <w:pPr>
              <w:spacing w:before="60" w:after="0" w:line="240" w:lineRule="auto"/>
              <w:jc w:val="both"/>
              <w:rPr>
                <w:sz w:val="24"/>
                <w:szCs w:val="24"/>
              </w:rPr>
            </w:pPr>
            <w:r>
              <w:rPr>
                <w:sz w:val="24"/>
                <w:szCs w:val="24"/>
              </w:rPr>
              <w:lastRenderedPageBreak/>
              <w:t>Điều 26 của Nghị định số 58/2025/NĐ-CP quy định: “</w:t>
            </w:r>
            <w:r w:rsidRPr="00031509">
              <w:rPr>
                <w:sz w:val="24"/>
                <w:szCs w:val="24"/>
              </w:rPr>
              <w:t>1. Đơn vị khảo sát dự án điện gió ngoài khơi quy định tại điểm b khoản 2 Điều 27 Luật Điện lực phải đáp ứng các điều kiện và năng lực như sau:</w:t>
            </w:r>
          </w:p>
          <w:p w14:paraId="60AB91CF" w14:textId="77777777" w:rsidR="00031509" w:rsidRPr="00031509" w:rsidRDefault="00031509" w:rsidP="00031509">
            <w:pPr>
              <w:spacing w:before="60" w:after="0" w:line="240" w:lineRule="auto"/>
              <w:jc w:val="both"/>
              <w:rPr>
                <w:sz w:val="24"/>
                <w:szCs w:val="24"/>
              </w:rPr>
            </w:pPr>
            <w:r w:rsidRPr="00031509">
              <w:rPr>
                <w:sz w:val="24"/>
                <w:szCs w:val="24"/>
              </w:rPr>
              <w:t>a) Có đề án triển khai hoạt động khảo sát phục vụ phát triển dự án điện gió ngoài khơi rõ ràng, phù hợp, khả thi. Quy mô công suất và khu vực biển đề xuất khảo sát phải thuộc quy hoạch phát triển điện lực hoặc kế hoạch thực hiện quy hoạch phát triển điện lực được phê duyệt;</w:t>
            </w:r>
          </w:p>
          <w:p w14:paraId="4041261F" w14:textId="77777777" w:rsidR="00031509" w:rsidRPr="00031509" w:rsidRDefault="00031509" w:rsidP="00031509">
            <w:pPr>
              <w:spacing w:before="60" w:after="0" w:line="240" w:lineRule="auto"/>
              <w:jc w:val="both"/>
              <w:rPr>
                <w:sz w:val="24"/>
                <w:szCs w:val="24"/>
              </w:rPr>
            </w:pPr>
            <w:r w:rsidRPr="00031509">
              <w:rPr>
                <w:sz w:val="24"/>
                <w:szCs w:val="24"/>
              </w:rPr>
              <w:lastRenderedPageBreak/>
              <w:t>b) Cam kết sử dụng nhân lực, hàng hóa, dịch vụ của nhà cung cấp trong nước để thực hiện đề án quy định tại điểm a khoản này trên nguyên tắc bảo đảm cạnh tranh về giá cả, chất lượng, tiến độ và khả năng sẵn có;</w:t>
            </w:r>
          </w:p>
          <w:p w14:paraId="6C41B53B" w14:textId="77777777" w:rsidR="00031509" w:rsidRPr="00031509" w:rsidRDefault="00031509" w:rsidP="00031509">
            <w:pPr>
              <w:spacing w:before="60" w:after="0" w:line="240" w:lineRule="auto"/>
              <w:jc w:val="both"/>
              <w:rPr>
                <w:sz w:val="24"/>
                <w:szCs w:val="24"/>
              </w:rPr>
            </w:pPr>
            <w:r w:rsidRPr="00031509">
              <w:rPr>
                <w:sz w:val="24"/>
                <w:szCs w:val="24"/>
              </w:rPr>
              <w:t>c) Cam kết không yêu cầu hoàn trả kinh phí trong mọi trường hợp;</w:t>
            </w:r>
          </w:p>
          <w:p w14:paraId="3C2B2310" w14:textId="77777777" w:rsidR="00031509" w:rsidRPr="00031509" w:rsidRDefault="00031509" w:rsidP="00031509">
            <w:pPr>
              <w:spacing w:before="60" w:after="0" w:line="240" w:lineRule="auto"/>
              <w:jc w:val="both"/>
              <w:rPr>
                <w:sz w:val="24"/>
                <w:szCs w:val="24"/>
              </w:rPr>
            </w:pPr>
            <w:r w:rsidRPr="00031509">
              <w:rPr>
                <w:sz w:val="24"/>
                <w:szCs w:val="24"/>
              </w:rPr>
              <w:t>d) Có năng lực tài chính hoặc hợp tác với tổ chức có năng lực thực hiện điều tra, khảo sát theo đề án quy định tại điểm a khoản này;</w:t>
            </w:r>
          </w:p>
          <w:p w14:paraId="68B63FB5" w14:textId="77777777" w:rsidR="00031509" w:rsidRPr="00031509" w:rsidRDefault="00031509" w:rsidP="00031509">
            <w:pPr>
              <w:spacing w:before="60" w:after="0" w:line="240" w:lineRule="auto"/>
              <w:jc w:val="both"/>
              <w:rPr>
                <w:sz w:val="24"/>
                <w:szCs w:val="24"/>
              </w:rPr>
            </w:pPr>
            <w:r w:rsidRPr="00031509">
              <w:rPr>
                <w:sz w:val="24"/>
                <w:szCs w:val="24"/>
              </w:rPr>
              <w:t>đ) Có ý kiến thống nhất bằng văn bản của Bộ Quốc phòng, Bộ Công an, Bộ Công Thương, Bộ Ngoại giao. Trường hợp không có ý kiến thống nhất, cơ quan có thẩm quyền quy định tại khoản 2 Điều này tổ chức hợp với bộ không có ý kiến thống nhất và cơ quan, tổ chức liên quan để quyết định việc lựa chọn đơn vị khảo sát và giao khu vực biển để thực hiện khảo sát;</w:t>
            </w:r>
          </w:p>
          <w:p w14:paraId="27600650" w14:textId="2D505859" w:rsidR="00931939" w:rsidRPr="00931939" w:rsidRDefault="00031509" w:rsidP="00031509">
            <w:pPr>
              <w:spacing w:before="60" w:after="0" w:line="240" w:lineRule="auto"/>
              <w:jc w:val="both"/>
              <w:rPr>
                <w:sz w:val="24"/>
                <w:szCs w:val="24"/>
              </w:rPr>
            </w:pPr>
            <w:r w:rsidRPr="00031509">
              <w:rPr>
                <w:sz w:val="24"/>
                <w:szCs w:val="24"/>
              </w:rPr>
              <w:t>e) Cam kết tuân thủ các quy định tại khoản 1, khoản 2 Điều 26 Luật Điện lực, quy định pháp luật về bảo vệ môi trường.</w:t>
            </w:r>
          </w:p>
        </w:tc>
        <w:tc>
          <w:tcPr>
            <w:tcW w:w="3641" w:type="dxa"/>
          </w:tcPr>
          <w:p w14:paraId="29DEEFA0" w14:textId="10D7426D" w:rsidR="00931939" w:rsidRPr="00931939" w:rsidRDefault="0094726E" w:rsidP="00C04776">
            <w:pPr>
              <w:spacing w:before="120" w:after="120" w:line="234" w:lineRule="atLeast"/>
              <w:jc w:val="both"/>
              <w:rPr>
                <w:sz w:val="24"/>
                <w:szCs w:val="24"/>
              </w:rPr>
            </w:pPr>
            <w:r w:rsidRPr="0094726E">
              <w:rPr>
                <w:sz w:val="24"/>
                <w:szCs w:val="24"/>
              </w:rPr>
              <w:lastRenderedPageBreak/>
              <w:t xml:space="preserve">Thực tiễn vừa qua, có một số doanh nghiệp không đủ năng lực để thực hiện đầu tư dự án điện gió ngoài khơi. Tuy nhiên, các doanh nghiệp này đã đăng ký để thực hiện khảo sát rất nhiều dự án điện gió ngoài khơi. Việc thực hiện nêu trên sẽ dẫn đến các dự án điện gió ngoài khơi rơi vào tay các doanh nghiệp không có năng lực, uy tín để triển khai thực hiện; giấy phép khảo sát dự án điện gió ngoài khơi được các doanh nghiệp này đưa ra bán để thu lợi;… Do đó, cần thiết phải bổ sung một số tiêu chí về năng lực của các </w:t>
            </w:r>
            <w:r w:rsidRPr="0094726E">
              <w:rPr>
                <w:sz w:val="24"/>
                <w:szCs w:val="24"/>
              </w:rPr>
              <w:lastRenderedPageBreak/>
              <w:t>doanh nghiệp đăng ký khảo sát điện gió ngoài khơi để hạn chế điều này.</w:t>
            </w:r>
          </w:p>
        </w:tc>
        <w:tc>
          <w:tcPr>
            <w:tcW w:w="3641" w:type="dxa"/>
          </w:tcPr>
          <w:p w14:paraId="689B8851" w14:textId="77777777" w:rsidR="00931939" w:rsidRPr="00931939" w:rsidRDefault="00931939" w:rsidP="00C04776">
            <w:pPr>
              <w:spacing w:before="120" w:after="120" w:line="234" w:lineRule="atLeast"/>
              <w:rPr>
                <w:rFonts w:eastAsia="Times New Roman"/>
                <w:sz w:val="24"/>
                <w:szCs w:val="24"/>
              </w:rPr>
            </w:pPr>
          </w:p>
        </w:tc>
      </w:tr>
      <w:tr w:rsidR="00931939" w:rsidRPr="00931939" w14:paraId="6FD1F560" w14:textId="77777777" w:rsidTr="00C20382">
        <w:tc>
          <w:tcPr>
            <w:tcW w:w="3640" w:type="dxa"/>
          </w:tcPr>
          <w:p w14:paraId="37F96360" w14:textId="77777777" w:rsidR="00C40903" w:rsidRPr="00C40903" w:rsidRDefault="00C40903" w:rsidP="00C40903">
            <w:pPr>
              <w:spacing w:before="120" w:after="120" w:line="234" w:lineRule="atLeast"/>
              <w:jc w:val="both"/>
              <w:rPr>
                <w:rFonts w:cs="Times New Roman"/>
                <w:b/>
                <w:bCs/>
                <w:sz w:val="24"/>
                <w:szCs w:val="24"/>
                <w:lang w:val="vi-VN"/>
              </w:rPr>
            </w:pPr>
            <w:r w:rsidRPr="00C40903">
              <w:rPr>
                <w:rFonts w:cs="Times New Roman"/>
                <w:b/>
                <w:bCs/>
                <w:sz w:val="24"/>
                <w:szCs w:val="24"/>
                <w:lang w:val="vi-VN"/>
              </w:rPr>
              <w:t xml:space="preserve">Điều 6. Xử lý chi phí khảo sát, chi phí lập hồ sơ chấp thuận chủ trương đầu tư dự án điện gió ngoài khơi đối với trường hợp cấp có thẩm quyền giao doanh nghiệp </w:t>
            </w:r>
            <w:r w:rsidRPr="00C40903">
              <w:rPr>
                <w:rFonts w:cs="Times New Roman"/>
                <w:b/>
                <w:bCs/>
                <w:sz w:val="24"/>
                <w:szCs w:val="24"/>
                <w:lang w:val="vi-VN"/>
              </w:rPr>
              <w:lastRenderedPageBreak/>
              <w:t>do Nhà nước nắm giữ 100% vốn điều lệ khảo sát</w:t>
            </w:r>
          </w:p>
          <w:p w14:paraId="7566343C" w14:textId="77777777"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t>1. Trường hợp doanh nghiệp do Nhà nước nắm giữ 100% vốn điều lệ đã thực hiện khảo sát nhưng không tham gia thực hiện Dự án theo quy định tại điểm b khoản 3 Điều 27 của Luật Điện lực số 61/2024/QH15 thì thực hiện như sau:</w:t>
            </w:r>
          </w:p>
          <w:p w14:paraId="6CEEE43F" w14:textId="77777777"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t>a) Nhà đầu tư phải hoàn trả toàn bộ chi phí khảo sát, chi phí lập hồ sơ chấp thuận chủ trương đầu tư cho doanh nghiệp do Nhà nước nắm giữ 100% vốn điều lệ trong thời hạn 30 (ba mươi) ngày làm việc kể từ ngày được chấp thuận là nhà đầu tư thực hiện dự án điện gió ngoài khơi;</w:t>
            </w:r>
          </w:p>
          <w:p w14:paraId="23B727DE" w14:textId="77777777"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t>b) Trong vòng 12 tháng kể từ thời điểm kết thúc khảo sát không có nhà đầu tư trúng thầu, chi phí khảo sát và chi phí lập hồ sơ được hạch toán vào chi phí sản xuất kinh doanh của doanh nghiệp.</w:t>
            </w:r>
          </w:p>
          <w:p w14:paraId="4481478A" w14:textId="77777777"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t>2. Trường hợp doanh nghiệp do Nhà nước nắm giữ 100% vốn điều lệ đã thực hiện khảo sát thực hiện góp vốn đầu tư vào dự án điện gió ngoài khơi tại khu vực được cấp có thẩm quyền giao thực hiện khảo sát theo quy định tại điểm a khoản 2 Điều 27 của Luật Điện lực số 61/2024/QH15 thì thực hiện như sau:</w:t>
            </w:r>
          </w:p>
          <w:p w14:paraId="2EA25572" w14:textId="77777777"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lastRenderedPageBreak/>
              <w:t>a) Các nhà đầu tư tham gia cùng góp vốn dự án hoàn trả chi phí khảo sát, chi phí lập hồ sơ chấp thuận chủ trương đầu tư theo tỷ lệ góp vốn được quy định trong hồ sơ chấp thuận chủ trương đầu tư trước khi được chấp thuận là nhà đầu tư thực hiện dự án điện gió ngoài khơi;</w:t>
            </w:r>
          </w:p>
          <w:p w14:paraId="4E1158B7" w14:textId="24B4C7DD" w:rsidR="00C40903" w:rsidRPr="00C40903" w:rsidRDefault="00C40903" w:rsidP="00C40903">
            <w:pPr>
              <w:spacing w:before="120" w:after="120" w:line="234" w:lineRule="atLeast"/>
              <w:jc w:val="both"/>
              <w:rPr>
                <w:rFonts w:cs="Times New Roman"/>
                <w:bCs/>
                <w:sz w:val="24"/>
                <w:szCs w:val="24"/>
                <w:lang w:val="vi-VN"/>
              </w:rPr>
            </w:pPr>
            <w:r w:rsidRPr="00C40903">
              <w:rPr>
                <w:rFonts w:cs="Times New Roman"/>
                <w:bCs/>
                <w:sz w:val="24"/>
                <w:szCs w:val="24"/>
                <w:lang w:val="vi-VN"/>
              </w:rPr>
              <w:t>b) Dự án không đáp ứng đủ các điều kiện để quyết định đầu tư, hoặc đã quyết định đầu tư nhưng bị dừng, hủy bỏ hoặc không tiếp tục thực hiện theo quyết định của cấp có thẩm quyền, chi phí khảo sát và chi phí lập hồ sơ theo tỷ lệ góp vốn được hạch toán vào chi phí sản xuất kinh doanh của doanh nghiệp.</w:t>
            </w:r>
          </w:p>
          <w:p w14:paraId="7FF2F334" w14:textId="17919A30" w:rsidR="009D2BB8" w:rsidRPr="00931939" w:rsidRDefault="009D2BB8" w:rsidP="009D2BB8">
            <w:pPr>
              <w:spacing w:before="120" w:after="120" w:line="234" w:lineRule="atLeast"/>
              <w:jc w:val="both"/>
              <w:rPr>
                <w:rFonts w:cs="Times New Roman"/>
                <w:bCs/>
                <w:sz w:val="24"/>
                <w:szCs w:val="24"/>
                <w:lang w:val="vi-VN"/>
              </w:rPr>
            </w:pPr>
          </w:p>
        </w:tc>
        <w:tc>
          <w:tcPr>
            <w:tcW w:w="3640" w:type="dxa"/>
          </w:tcPr>
          <w:p w14:paraId="1617584D" w14:textId="77777777" w:rsidR="003D40B4"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lastRenderedPageBreak/>
              <w:t xml:space="preserve">Khoản 3 Điều 27 của Luật Điện lực số 61/2024/QH15 đã quy định: “3. Việc xử lý chi phí khảo sát của doanh nghiệp quy định tại điểm a </w:t>
            </w:r>
            <w:r w:rsidRPr="00931939">
              <w:rPr>
                <w:rFonts w:eastAsia="Times New Roman"/>
                <w:sz w:val="24"/>
                <w:szCs w:val="24"/>
              </w:rPr>
              <w:lastRenderedPageBreak/>
              <w:t>khoản 2 Điều này được thực hiện như sau:</w:t>
            </w:r>
          </w:p>
          <w:p w14:paraId="18A3347A" w14:textId="77777777" w:rsidR="003D40B4"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t>a) Chi phí khảo sát trong trường hợp quy định tại điểm a khoản 2 Điều này do doanh nghiệp do Nhà nước nắm giữ 100% vốn điều lệ chịu trách nhiệm thu xếp; doanh nghiệp này được góp vốn đầu tư dự án tại khu vực Thủ tướng Chính phủ giao thực hiện khảo sát;</w:t>
            </w:r>
          </w:p>
          <w:p w14:paraId="4820F021" w14:textId="77777777" w:rsidR="003D40B4"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t>b) Trường hợp không thực hiện quy định tại điểm a khoản này, nhà đầu tư được lựa chọn thực hiện dự án có trách nhiệm hoàn trả chi phí khảo sát cho doanh nghiệp quy định tại điểm a khoản 2 Điều này.”</w:t>
            </w:r>
          </w:p>
          <w:p w14:paraId="32A90A97" w14:textId="77777777" w:rsidR="003D40B4"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t>Chưa có quy định xử lý chi phí trong trường hợp doanh nghiệp do Nhà nước nắm giữ 100% vốn điều lệ thực hiện khảo sát mà kết quả khảo sát được đánh giá không khả thi để thực hiện dự án đầu tư.</w:t>
            </w:r>
          </w:p>
          <w:p w14:paraId="1A080C37" w14:textId="77777777" w:rsidR="003D40B4"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t xml:space="preserve">Luật Điện lực số 61/2024/QH15 chưa quy định rõ trường hợp doanh nghiệp do nhà nước nắm giữ 100% vốn điều lệ phải thực hiện khảo sát trước khi lập đề nghị chấp thuận chủ trương đầu tư. </w:t>
            </w:r>
          </w:p>
          <w:p w14:paraId="2669025C" w14:textId="41C946CA" w:rsidR="009D2BB8" w:rsidRPr="00931939" w:rsidRDefault="003D40B4" w:rsidP="003D40B4">
            <w:pPr>
              <w:spacing w:before="120" w:after="120" w:line="234" w:lineRule="atLeast"/>
              <w:jc w:val="both"/>
              <w:rPr>
                <w:rFonts w:eastAsia="Times New Roman"/>
                <w:sz w:val="24"/>
                <w:szCs w:val="24"/>
              </w:rPr>
            </w:pPr>
            <w:r w:rsidRPr="00931939">
              <w:rPr>
                <w:rFonts w:eastAsia="Times New Roman"/>
                <w:sz w:val="24"/>
                <w:szCs w:val="24"/>
              </w:rPr>
              <w:t xml:space="preserve">Khoản 5 Điều 27 của Luật Điện lực quy định: “5. Chính phủ quy định chi tiết khoản 4 Điều này và nội dung khảo sát, cơ chế xử lý chi phí </w:t>
            </w:r>
            <w:r w:rsidRPr="00931939">
              <w:rPr>
                <w:rFonts w:eastAsia="Times New Roman"/>
                <w:sz w:val="24"/>
                <w:szCs w:val="24"/>
              </w:rPr>
              <w:lastRenderedPageBreak/>
              <w:t>khảo sát, điều kiện và năng lực của đơn vị khảo sát; quy định việc phân công trách nhiệm quy định định mức kinh tế - kỹ thuật, đơn giá khảo sát, thẩm tra kết quả khảo sát, diện tích khảo sát và sử dụng khu vực biển, thanh toán chi phí lập báo cáo nghiên cứu tiền khả thi đầu tư xây dựng dự án.”</w:t>
            </w:r>
          </w:p>
        </w:tc>
        <w:tc>
          <w:tcPr>
            <w:tcW w:w="3641" w:type="dxa"/>
          </w:tcPr>
          <w:p w14:paraId="5D142A34" w14:textId="77777777" w:rsidR="00A50604" w:rsidRPr="00931939" w:rsidRDefault="00A50604" w:rsidP="00A50604">
            <w:pPr>
              <w:spacing w:before="120" w:after="120" w:line="234" w:lineRule="atLeast"/>
              <w:jc w:val="both"/>
              <w:rPr>
                <w:rFonts w:eastAsia="Times New Roman"/>
                <w:sz w:val="24"/>
                <w:szCs w:val="24"/>
              </w:rPr>
            </w:pPr>
            <w:r w:rsidRPr="00931939">
              <w:rPr>
                <w:rFonts w:eastAsia="Times New Roman"/>
                <w:sz w:val="24"/>
                <w:szCs w:val="24"/>
              </w:rPr>
              <w:lastRenderedPageBreak/>
              <w:t xml:space="preserve">Bổ sung quy định xử lý chi phí trong trường hợp doanh nghiệp do Nhà nước nắm giữ 100% vốn điều lệ thực hiện khảo sát mà kết quả khảo sát được đánh giá không khả thi để thực hiện dự án đầu tư. Phù hợp với </w:t>
            </w:r>
            <w:r w:rsidRPr="00931939">
              <w:rPr>
                <w:rFonts w:eastAsia="Times New Roman"/>
                <w:sz w:val="24"/>
                <w:szCs w:val="24"/>
              </w:rPr>
              <w:lastRenderedPageBreak/>
              <w:t>chủ trương của Nghị quyết số 70-NQ/TW tại mục 3 Phần III đối với điện gió và điện mặt trời: “Khẩn trương xây dựng chính sách tháo gỡ khó khăn, chính sách pháp lý hỗ trợ và cơ chế đột phá cho phát triển điện gió ngoài khơi”.</w:t>
            </w:r>
          </w:p>
          <w:p w14:paraId="69A3F5B7" w14:textId="77777777" w:rsidR="00A50604" w:rsidRPr="00931939" w:rsidRDefault="00A50604" w:rsidP="00A50604">
            <w:pPr>
              <w:spacing w:before="120" w:after="120" w:line="234" w:lineRule="atLeast"/>
              <w:jc w:val="both"/>
              <w:rPr>
                <w:rFonts w:eastAsia="Times New Roman"/>
                <w:sz w:val="24"/>
                <w:szCs w:val="24"/>
              </w:rPr>
            </w:pPr>
            <w:r w:rsidRPr="00931939">
              <w:rPr>
                <w:rFonts w:eastAsia="Times New Roman"/>
                <w:sz w:val="24"/>
                <w:szCs w:val="24"/>
              </w:rPr>
              <w:t>Quy định hiện hành chỉ áp dụng đối với trường hợp dự án khảo sát khả thi, lựa chọn được nhà đầu tư thực hiện đầu tư dự án; chưa có trường hợp dự án khảo sát nhưng không khả thi để thực hiện. Do đó, bổ sung nội dung về chi phí và hạch toán chi phí khảo sát cho Doanh nghiệp do Nhà nước nắm giữ 100% vốn điều lệ thực hiện nhiệm vụ do cấp có thẩm quyền giao, tuy nhiên dự án không khả thi để đầu tư.</w:t>
            </w:r>
          </w:p>
          <w:p w14:paraId="258C4FA0" w14:textId="17C09D1D" w:rsidR="009D2BB8" w:rsidRPr="00931939" w:rsidRDefault="009D2BB8" w:rsidP="00A50604">
            <w:pPr>
              <w:spacing w:before="120" w:after="120" w:line="234" w:lineRule="atLeast"/>
              <w:jc w:val="both"/>
              <w:rPr>
                <w:rFonts w:eastAsia="Times New Roman"/>
                <w:sz w:val="24"/>
                <w:szCs w:val="24"/>
              </w:rPr>
            </w:pPr>
          </w:p>
        </w:tc>
        <w:tc>
          <w:tcPr>
            <w:tcW w:w="3641" w:type="dxa"/>
          </w:tcPr>
          <w:p w14:paraId="12D77C8D" w14:textId="77777777" w:rsidR="009D2BB8" w:rsidRPr="00931939" w:rsidRDefault="009D2BB8" w:rsidP="00C20382">
            <w:pPr>
              <w:spacing w:before="120" w:after="120" w:line="234" w:lineRule="atLeast"/>
              <w:rPr>
                <w:rFonts w:eastAsia="Times New Roman"/>
                <w:sz w:val="26"/>
                <w:szCs w:val="26"/>
              </w:rPr>
            </w:pPr>
          </w:p>
        </w:tc>
      </w:tr>
      <w:tr w:rsidR="00931939" w:rsidRPr="00931939" w14:paraId="33E3A4D1" w14:textId="77777777" w:rsidTr="00C20382">
        <w:tc>
          <w:tcPr>
            <w:tcW w:w="3640" w:type="dxa"/>
          </w:tcPr>
          <w:p w14:paraId="72DBB86F" w14:textId="77777777" w:rsidR="00041531" w:rsidRPr="00041531" w:rsidRDefault="00041531" w:rsidP="00041531">
            <w:pPr>
              <w:spacing w:before="120" w:after="120" w:line="234" w:lineRule="atLeast"/>
              <w:jc w:val="both"/>
              <w:rPr>
                <w:rFonts w:cs="Times New Roman"/>
                <w:b/>
                <w:bCs/>
                <w:sz w:val="24"/>
                <w:szCs w:val="24"/>
                <w:lang w:val="vi-VN"/>
              </w:rPr>
            </w:pPr>
            <w:r w:rsidRPr="00041531">
              <w:rPr>
                <w:rFonts w:cs="Times New Roman"/>
                <w:b/>
                <w:bCs/>
                <w:sz w:val="24"/>
                <w:szCs w:val="24"/>
                <w:lang w:val="vi-VN"/>
              </w:rPr>
              <w:lastRenderedPageBreak/>
              <w:t>Điều 7. Hồ sơ đề nghị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723F7A39"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1. Hồ sơ đề nghị chấp thuận chủ trương đầu tư dự án đầu tư kinh doanh điện gió ngoài khơi trong quy hoạch phát triển điện lực và dự kiến vận hành trong giai đoạn 2025 – 2030 bao gồm các nội dung sau:</w:t>
            </w:r>
          </w:p>
          <w:p w14:paraId="0840DF50"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lastRenderedPageBreak/>
              <w:t>a) Nội dung theo quy định của pháp luật về đầu tư;</w:t>
            </w:r>
          </w:p>
          <w:p w14:paraId="3BC3A441"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b) Nội dung khác phù hợp với pháp luật về xây dựng trường hợp phải lập báo cáo nghiên cứu tiền khả thi;</w:t>
            </w:r>
          </w:p>
          <w:p w14:paraId="5B812130"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c) Dự kiến diện tích, vị trí khu vực biển sử dụng khảo sát, thời gian thực hiện khảo sát;</w:t>
            </w:r>
          </w:p>
          <w:p w14:paraId="03E30489"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d) Số liệu nghiên cứu hoặc số liệu thu thập từ nguồn hợp pháp, bảo đảm tin cậy của khu vực đề xuất thực hiện dự án điện gió ngoài khơi, bao gồm: sơ bộ về tốc độ gió được đánh giá khả thi để đầu tư điện gió ngoài khơi (tối thiểu thời đoạn tuần), điều kiện địa hình, điều kiện địa chất; sơ bộ điều kiện tự nhiên, điều kiện hải dương học (nếu có); sơ bộ phương án cảng vận chuyển thiết bị dự án điện gió ngoài khơi;</w:t>
            </w:r>
          </w:p>
          <w:p w14:paraId="3731A3EF"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đ) Đề xuất mức giảm giá điện (đồng/kwh) so với mức trần khung giá tại năm đàm phán hợp đồng mua bán điện;</w:t>
            </w:r>
          </w:p>
          <w:p w14:paraId="066AC917"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e) Vị trí khu vực biển sử dụng để đầu tư dự án được xác định tại báo cáo nghiên cứu khả thi đầu tư xây dựng dự án điện gió ngoài khơi và nằm trong vị trí khu vực biển được giao sử dụng khảo sát tại hồ sơ chấp thuận chủ trương đầu tư được cấp có thẩm quyền phê duyệt;</w:t>
            </w:r>
          </w:p>
          <w:p w14:paraId="49B132D9"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lastRenderedPageBreak/>
              <w:t>g) Đề xuất các mốc tiến độ thực hiện dự án: Quyết định phê duyệt dự án; khởi công công trình chính của dự án; đưa dự án vào vận hành;</w:t>
            </w:r>
          </w:p>
          <w:p w14:paraId="2DF89137"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h) Tài liệu chứng minh năng lực của doanh nghiệp theo quy định.</w:t>
            </w:r>
          </w:p>
          <w:p w14:paraId="33E7B16A"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2. Hồ sơ chấp thuận chủ trương đầu tư dự án đầu tư kinh doanh điện gió ngoài khơi trong quy hoạch phát triển điện lực và dự kiến vận hành trong giai đoạn 2031 – 2035 bao gồm các nội dung sau:</w:t>
            </w:r>
          </w:p>
          <w:p w14:paraId="5A8DFF74"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a) Nội dung theo quy định của pháp luật về đầu tư;</w:t>
            </w:r>
          </w:p>
          <w:p w14:paraId="148DFE14"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b) Nội dung khác phù hợp với pháp luật về xây dựng trường hợp phải lập báo cáo nghiên cứu tiền khả thi;</w:t>
            </w:r>
          </w:p>
          <w:p w14:paraId="2658FF30"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c) Số liệu thực tế tại khu vực được giao khu vực biển để khảo sát điện gió ngoài khơi, bao gồm: tốc độ gió được đánh giá khả thi để đầu tư điện gió ngoài khơi (tối thiểu thời đoạn tuần), điều kiện địa hình, điều kiện địa chất; điều kiện tự nhiên, điều kiện hải dương học (nếu có); dự kiến phương án cảng vận chuyển thiết bị dự án điện gió ngoài khơi;</w:t>
            </w:r>
          </w:p>
          <w:p w14:paraId="3F429793"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d) Đề xuất mức giảm giá điện (đồng/kwh) so với mức trần khung giá tại năm đàm phán hợp đồng mua bán điện (nếu có);</w:t>
            </w:r>
          </w:p>
          <w:p w14:paraId="78BDB2A6"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lastRenderedPageBreak/>
              <w:t>đ) Đề xuất các mốc tiến độ thực hiện dự án: Quyết định phê duyệt dự án; khởi công công trình chính của dự án; đưa dự án vào vận hành;</w:t>
            </w:r>
          </w:p>
          <w:p w14:paraId="207B78C0" w14:textId="77777777" w:rsidR="00041531"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e) Văn bản chấp thuận vị trí điểm gom công suất của dự án điện gió ngoài khơi của Bộ Công Thương;</w:t>
            </w:r>
          </w:p>
          <w:p w14:paraId="103895A7" w14:textId="3BD42DB3" w:rsidR="009D2BB8" w:rsidRPr="00041531" w:rsidRDefault="00041531" w:rsidP="00041531">
            <w:pPr>
              <w:spacing w:before="120" w:after="120" w:line="234" w:lineRule="atLeast"/>
              <w:jc w:val="both"/>
              <w:rPr>
                <w:rFonts w:cs="Times New Roman"/>
                <w:bCs/>
                <w:sz w:val="24"/>
                <w:szCs w:val="24"/>
                <w:lang w:val="vi-VN"/>
              </w:rPr>
            </w:pPr>
            <w:r w:rsidRPr="00041531">
              <w:rPr>
                <w:rFonts w:cs="Times New Roman"/>
                <w:bCs/>
                <w:sz w:val="24"/>
                <w:szCs w:val="24"/>
                <w:lang w:val="vi-VN"/>
              </w:rPr>
              <w:t>g) Tài liệu chứng minh năng lực của doanh nghiệp theo quy định.</w:t>
            </w:r>
          </w:p>
        </w:tc>
        <w:tc>
          <w:tcPr>
            <w:tcW w:w="3640" w:type="dxa"/>
          </w:tcPr>
          <w:p w14:paraId="6861B441" w14:textId="77777777" w:rsidR="00B711C4" w:rsidRPr="00931939" w:rsidRDefault="00B711C4" w:rsidP="00B711C4">
            <w:pPr>
              <w:spacing w:before="120" w:after="120" w:line="234" w:lineRule="atLeast"/>
              <w:jc w:val="both"/>
              <w:rPr>
                <w:rFonts w:eastAsia="Times New Roman"/>
                <w:i/>
                <w:sz w:val="24"/>
                <w:szCs w:val="24"/>
              </w:rPr>
            </w:pPr>
            <w:r w:rsidRPr="00931939">
              <w:rPr>
                <w:rFonts w:eastAsia="Times New Roman"/>
                <w:sz w:val="24"/>
                <w:szCs w:val="24"/>
              </w:rPr>
              <w:lastRenderedPageBreak/>
              <w:t>Khoản 2 Điều 28 của Luật Điện lưc: “</w:t>
            </w:r>
            <w:r w:rsidRPr="00931939">
              <w:rPr>
                <w:rFonts w:eastAsia="Times New Roman"/>
                <w:i/>
                <w:sz w:val="24"/>
                <w:szCs w:val="24"/>
              </w:rPr>
              <w:t>2. Nội dung hồ sơ đề nghị chấp thuận chủ trương đầu tư đồng thời chấp thuận nhà đầu tư, hồ sơ đề nghị chấp thuận hoặc quyết định chủ trương đầu tư dự án điện gió ngoài khơi thực hiện theo quy định của Luật Đầu tư hoặc Luật Đầu tư công hoặc Luật Đầu tư theo phương thức đối tác công tư và các nội dung sau đây:</w:t>
            </w:r>
          </w:p>
          <w:p w14:paraId="074D0A24" w14:textId="77777777" w:rsidR="00B711C4" w:rsidRPr="00931939" w:rsidRDefault="00B711C4" w:rsidP="00B711C4">
            <w:pPr>
              <w:spacing w:before="120" w:after="120" w:line="234" w:lineRule="atLeast"/>
              <w:jc w:val="both"/>
              <w:rPr>
                <w:rFonts w:eastAsia="Times New Roman"/>
                <w:i/>
                <w:sz w:val="24"/>
                <w:szCs w:val="24"/>
              </w:rPr>
            </w:pPr>
            <w:r w:rsidRPr="00931939">
              <w:rPr>
                <w:rFonts w:eastAsia="Times New Roman"/>
                <w:i/>
                <w:sz w:val="24"/>
                <w:szCs w:val="24"/>
              </w:rPr>
              <w:t xml:space="preserve">a) Dự kiến vị trí, tọa độ và diện tích khu vực biển sử dụng thay cho tài </w:t>
            </w:r>
            <w:r w:rsidRPr="00931939">
              <w:rPr>
                <w:rFonts w:eastAsia="Times New Roman"/>
                <w:i/>
                <w:sz w:val="24"/>
                <w:szCs w:val="24"/>
              </w:rPr>
              <w:lastRenderedPageBreak/>
              <w:t>liệu xác định quyền sử dụng địa điểm để thực hiện dự án đầu tư;</w:t>
            </w:r>
          </w:p>
          <w:p w14:paraId="318AC977" w14:textId="77777777" w:rsidR="00B711C4" w:rsidRPr="00931939" w:rsidRDefault="00B711C4" w:rsidP="00B711C4">
            <w:pPr>
              <w:spacing w:before="120" w:after="120" w:line="234" w:lineRule="atLeast"/>
              <w:jc w:val="both"/>
              <w:rPr>
                <w:rFonts w:eastAsia="Times New Roman"/>
                <w:sz w:val="24"/>
                <w:szCs w:val="24"/>
              </w:rPr>
            </w:pPr>
            <w:r w:rsidRPr="00931939">
              <w:rPr>
                <w:rFonts w:eastAsia="Times New Roman"/>
                <w:i/>
                <w:sz w:val="24"/>
                <w:szCs w:val="24"/>
              </w:rPr>
              <w:t>b) Dự kiến thời gian sử dụng khu vực biển</w:t>
            </w:r>
            <w:r w:rsidRPr="00931939">
              <w:rPr>
                <w:rFonts w:eastAsia="Times New Roman"/>
                <w:sz w:val="24"/>
                <w:szCs w:val="24"/>
              </w:rPr>
              <w:t>.”</w:t>
            </w:r>
          </w:p>
          <w:p w14:paraId="65D1D2D3" w14:textId="77777777" w:rsidR="009D2BB8" w:rsidRPr="00931939" w:rsidRDefault="009D2BB8" w:rsidP="002642FE">
            <w:pPr>
              <w:spacing w:before="120" w:after="120" w:line="234" w:lineRule="atLeast"/>
              <w:jc w:val="both"/>
              <w:rPr>
                <w:rFonts w:eastAsia="Times New Roman"/>
                <w:sz w:val="24"/>
                <w:szCs w:val="24"/>
              </w:rPr>
            </w:pPr>
          </w:p>
        </w:tc>
        <w:tc>
          <w:tcPr>
            <w:tcW w:w="3641" w:type="dxa"/>
          </w:tcPr>
          <w:p w14:paraId="3D91DA78" w14:textId="64951B79" w:rsidR="009D2BB8"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lastRenderedPageBreak/>
              <w:t xml:space="preserve">Theo quy định của Luật Điện lực số 61/2024/QH15 và Nghị định số 58/2025/NĐ-CP ngày 03/3/2025 quy định về chi tiết một số điều của Luật Điện lực về phát triển điện năng lượng tái tạo, điện năng lượng mới, hồ sơ đề nghị chấp thuận chủ trương đầu tư dự án điện gió ngoài khơi còn có nhiều cách hiểu cách nhau, đặc biệt là về nội dung khảo sát phục vụ lập báo cáo nghiên cứu tiền khả thi. Do đó, Nghị định này sẽ làm rõ nội dung của hồ sơ đề nghị chấp thuận chủ trương đầu tư dự án </w:t>
            </w:r>
            <w:r w:rsidRPr="00931939">
              <w:rPr>
                <w:rFonts w:eastAsia="Times New Roman"/>
                <w:sz w:val="24"/>
                <w:szCs w:val="24"/>
              </w:rPr>
              <w:lastRenderedPageBreak/>
              <w:t>điện gió ngoài khơi để các tổ chức, cá nhân quan tâm thực hiện thống nhất.</w:t>
            </w:r>
          </w:p>
        </w:tc>
        <w:tc>
          <w:tcPr>
            <w:tcW w:w="3641" w:type="dxa"/>
          </w:tcPr>
          <w:p w14:paraId="1F770410" w14:textId="77777777" w:rsidR="009D2BB8" w:rsidRPr="00931939" w:rsidRDefault="009D2BB8" w:rsidP="00C20382">
            <w:pPr>
              <w:spacing w:before="120" w:after="120" w:line="234" w:lineRule="atLeast"/>
              <w:rPr>
                <w:rFonts w:eastAsia="Times New Roman"/>
                <w:sz w:val="26"/>
                <w:szCs w:val="26"/>
              </w:rPr>
            </w:pPr>
          </w:p>
        </w:tc>
      </w:tr>
      <w:tr w:rsidR="00F50898" w:rsidRPr="00931939" w14:paraId="71B9F26D" w14:textId="77777777" w:rsidTr="00C20382">
        <w:tc>
          <w:tcPr>
            <w:tcW w:w="3640" w:type="dxa"/>
          </w:tcPr>
          <w:p w14:paraId="0C5A0AAB" w14:textId="77777777" w:rsidR="00F50898" w:rsidRPr="00F50898" w:rsidRDefault="00F50898" w:rsidP="00F50898">
            <w:pPr>
              <w:spacing w:before="120" w:after="120" w:line="234" w:lineRule="atLeast"/>
              <w:jc w:val="both"/>
              <w:rPr>
                <w:rFonts w:cs="Times New Roman"/>
                <w:b/>
                <w:bCs/>
                <w:sz w:val="24"/>
                <w:szCs w:val="24"/>
                <w:lang w:val="vi-VN"/>
              </w:rPr>
            </w:pPr>
            <w:r w:rsidRPr="00F50898">
              <w:rPr>
                <w:rFonts w:cs="Times New Roman"/>
                <w:b/>
                <w:bCs/>
                <w:sz w:val="24"/>
                <w:szCs w:val="24"/>
                <w:lang w:val="vi-VN"/>
              </w:rPr>
              <w:lastRenderedPageBreak/>
              <w:t>Điều 8. Điều kiện của doanh nghiệp lập hồ sơ chấp thuận chủ trương đầu tư dự án đầu tư kinh doanh điện gió ngoài khơi bán điện lên hệ thống điện quốc gia trong quy hoạch phát triển điện lực và dự kiến vận hành trong giai đoạn 2025 – 2030, giai đoạn 2031 – 2035</w:t>
            </w:r>
          </w:p>
          <w:p w14:paraId="7557E988" w14:textId="77777777" w:rsidR="00F50898" w:rsidRPr="00F50898" w:rsidRDefault="00F50898" w:rsidP="00F50898">
            <w:pPr>
              <w:spacing w:before="120" w:after="120" w:line="234" w:lineRule="atLeast"/>
              <w:jc w:val="both"/>
              <w:rPr>
                <w:rFonts w:cs="Times New Roman"/>
                <w:bCs/>
                <w:sz w:val="24"/>
                <w:szCs w:val="24"/>
                <w:lang w:val="vi-VN"/>
              </w:rPr>
            </w:pPr>
            <w:r w:rsidRPr="00F50898">
              <w:rPr>
                <w:rFonts w:cs="Times New Roman"/>
                <w:bCs/>
                <w:sz w:val="24"/>
                <w:szCs w:val="24"/>
                <w:lang w:val="vi-VN"/>
              </w:rPr>
              <w:t>Ngoài các điều kiện theo quy định của pháp luật về điện lực, pháp luật về đấu thầu và pháp luật về đầu tư, doanh nghiệp lập hồ sơ đề nghị chấp thuận chủ trương đầu tư dự án điện gió ngoài khơi phải đáp ứng các điều kiện sau đây:</w:t>
            </w:r>
          </w:p>
          <w:p w14:paraId="48A6F513" w14:textId="77777777" w:rsidR="00F50898" w:rsidRPr="00F50898" w:rsidRDefault="00F50898" w:rsidP="00F50898">
            <w:pPr>
              <w:spacing w:before="120" w:after="120" w:line="234" w:lineRule="atLeast"/>
              <w:jc w:val="both"/>
              <w:rPr>
                <w:rFonts w:cs="Times New Roman"/>
                <w:bCs/>
                <w:sz w:val="24"/>
                <w:szCs w:val="24"/>
                <w:lang w:val="vi-VN"/>
              </w:rPr>
            </w:pPr>
            <w:r w:rsidRPr="00F50898">
              <w:rPr>
                <w:rFonts w:cs="Times New Roman"/>
                <w:bCs/>
                <w:sz w:val="24"/>
                <w:szCs w:val="24"/>
                <w:lang w:val="vi-VN"/>
              </w:rPr>
              <w:t>1. Đáp ứng điều kiện theo quy định tại khoản 1 Điều 5 của Nghị định này;</w:t>
            </w:r>
          </w:p>
          <w:p w14:paraId="06CFAFA8" w14:textId="4814BEAE" w:rsidR="00F50898" w:rsidRPr="00041531" w:rsidRDefault="00F50898" w:rsidP="00F50898">
            <w:pPr>
              <w:spacing w:before="120" w:after="120" w:line="234" w:lineRule="atLeast"/>
              <w:jc w:val="both"/>
              <w:rPr>
                <w:rFonts w:cs="Times New Roman"/>
                <w:b/>
                <w:bCs/>
                <w:sz w:val="24"/>
                <w:szCs w:val="24"/>
                <w:lang w:val="vi-VN"/>
              </w:rPr>
            </w:pPr>
            <w:r w:rsidRPr="00F50898">
              <w:rPr>
                <w:rFonts w:cs="Times New Roman"/>
                <w:bCs/>
                <w:sz w:val="24"/>
                <w:szCs w:val="24"/>
                <w:lang w:val="vi-VN"/>
              </w:rPr>
              <w:t xml:space="preserve">2. Có vốn chủ sở hữu tối thiểu không thấp hơn 20% tổng vốn đầu tư đối với mỗi dự án điện gió ngoài </w:t>
            </w:r>
            <w:r w:rsidRPr="00F50898">
              <w:rPr>
                <w:rFonts w:cs="Times New Roman"/>
                <w:bCs/>
                <w:sz w:val="24"/>
                <w:szCs w:val="24"/>
                <w:lang w:val="vi-VN"/>
              </w:rPr>
              <w:lastRenderedPageBreak/>
              <w:t>khơi đề xuất (không gồm vốn đã được giải ngân cho các dự án đang thực hiện và các khoản đầu tư tài chính dài hạn khác).</w:t>
            </w:r>
          </w:p>
        </w:tc>
        <w:tc>
          <w:tcPr>
            <w:tcW w:w="3640" w:type="dxa"/>
          </w:tcPr>
          <w:p w14:paraId="6112D044" w14:textId="6AF3F054" w:rsidR="00F50898" w:rsidRPr="00F50898" w:rsidRDefault="00F50898" w:rsidP="00F50898">
            <w:pPr>
              <w:spacing w:before="120" w:after="120" w:line="234" w:lineRule="atLeast"/>
              <w:jc w:val="both"/>
              <w:rPr>
                <w:rFonts w:eastAsia="Times New Roman"/>
                <w:sz w:val="24"/>
                <w:szCs w:val="24"/>
              </w:rPr>
            </w:pPr>
            <w:r>
              <w:rPr>
                <w:rFonts w:eastAsia="Times New Roman"/>
                <w:sz w:val="24"/>
                <w:szCs w:val="24"/>
              </w:rPr>
              <w:lastRenderedPageBreak/>
              <w:t>Điều 28 của Luật Điện lực: “</w:t>
            </w:r>
            <w:r w:rsidRPr="00F50898">
              <w:rPr>
                <w:rFonts w:eastAsia="Times New Roman"/>
                <w:sz w:val="24"/>
                <w:szCs w:val="24"/>
              </w:rPr>
              <w:t>1. Nhà đầu tư nước ngoài, tổ chức kinh tế có vốn đầu tư nước ngoài quy định tại khoản 1 Điều 23 Luật Đầu tư thực hiện, tham gia thực hiện đầu tư, tham gia đấu thầu lựa chọn nhà đầu tư dự án điện gió ngoài khơi phải đáp ứng các điều kiện sau:</w:t>
            </w:r>
          </w:p>
          <w:p w14:paraId="290C9B46"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a) Có kinh nghiệm trong việc đầu tư phát triển ít nhất 01 dự án điện gió ngoài khơi được vận hành khai thác tại Việt Nam hoặc các nước trên thế giới, gồm trực tiếp đầu tư hoặc góp vốn đầu tư đáp ứng tỷ lệ quy định tại điểm b khoản này hoặc thực hiện một trong các hoạt động như quản lý dự án, thiết kế, thi công xây dựng. Trường hợp nhiều nhà đầu tư liên danh thì điều kiện về kinh nghiệm được tính bằng tổng kinh nghiệm của các thành viên trong liên danh;</w:t>
            </w:r>
          </w:p>
          <w:p w14:paraId="15525374"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 xml:space="preserve">b) Có năng lực tài chính, phần vốn trong dự án chiếm tối thiểu 15% </w:t>
            </w:r>
            <w:r w:rsidRPr="00F50898">
              <w:rPr>
                <w:rFonts w:eastAsia="Times New Roman"/>
                <w:sz w:val="24"/>
                <w:szCs w:val="24"/>
              </w:rPr>
              <w:lastRenderedPageBreak/>
              <w:t>tổng mức đầu tư dự án dự kiến và tỷ lệ vốn chủ sở hữu trên phần vốn góp tham gia dự án tối thiểu 20%;</w:t>
            </w:r>
          </w:p>
          <w:p w14:paraId="5D28D5EF"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c) Có sự tham gia của doanh nghiệp trong nước với tổng tỷ lệ nắm giữ vốn điều lệ hoặc tổng số cổ phần có quyền biểu quyết trong tổ chức kinh tế thực hiện dự án tối thiểu 5% gồm: Doanh nghiệp nhà nước hoặc doanh nghiệp do doanh nghiệp do Nhà nước nắm giữ 100% vốn điều lệ nắm giữ trên 50% vốn điều lệ hoặc tổng số cổ phần có quyền biểu quyết;</w:t>
            </w:r>
          </w:p>
          <w:p w14:paraId="6A7189A7"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d) Có ý kiến thống nhất bằng văn bản của Bộ Quốc phòng, Bộ Công an, Bộ Ngoại giao. Trường hợp nhà đầu tư đề xuất hồ sơ đề nghị chấp thuận chủ trương đầu tư dự án đầu tư, cơ quan có thẩm quyền tổ chức thẩm định đề nghị chấp thuận chủ trương đầu tư chịu trách nhiệm lấy ý kiến trong quá trình thẩm định. Trường hợp khác, cơ quan có thẩm quyền tổ chức lựa chọn nhà đầu tư chịu trách nhiệm lấy ý kiến trước khi thực hiện thủ tục lựa chọn nhà đầu tư;</w:t>
            </w:r>
          </w:p>
          <w:p w14:paraId="35663E24"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 xml:space="preserve">đ) Cam kết sử dụng nhân lực, hàng hóa, dịch vụ của nhà cung cấp trong nước trong quá trình thực hiện đầu tư, xây dựng và vận hành dự án trên nguyên tắc bảo đảm cạnh tranh về </w:t>
            </w:r>
            <w:r w:rsidRPr="00F50898">
              <w:rPr>
                <w:rFonts w:eastAsia="Times New Roman"/>
                <w:sz w:val="24"/>
                <w:szCs w:val="24"/>
              </w:rPr>
              <w:lastRenderedPageBreak/>
              <w:t>giá cả, chất lượng, tiến độ và khả năng sẵn có.</w:t>
            </w:r>
          </w:p>
          <w:p w14:paraId="502E2742"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2. Nhà đầu tư trong nước gồm cá nhân có quốc tịch Việt Nam, tổ chức kinh tế được thành lập và hoạt động theo quy định của pháp luật Việt Nam trừ tổ chức kinh tế quy định tại khoản 1 Điều này thực hiện, tham gia thực hiện đầu tư, tham gia đấu thầu lựa chọn nhà đầu tư dự án điện gió ngoài khơi phải đáp ứng các điều kiện sau:</w:t>
            </w:r>
          </w:p>
          <w:p w14:paraId="753EEC2B"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t>a) Có năng lực tài chính, phần vốn trong dự án tối thiểu 5% tổng mức đầu tư dự án dự kiến và tỷ lệ vốn chủ sở hữu trên phần vốn góp tham gia dự án tối thiểu 20%;</w:t>
            </w:r>
          </w:p>
          <w:p w14:paraId="68927B5F" w14:textId="69FC30F4" w:rsidR="00F50898" w:rsidRPr="00931939" w:rsidRDefault="00F50898" w:rsidP="00F50898">
            <w:pPr>
              <w:spacing w:before="120" w:after="120" w:line="234" w:lineRule="atLeast"/>
              <w:jc w:val="both"/>
              <w:rPr>
                <w:rFonts w:eastAsia="Times New Roman"/>
                <w:sz w:val="24"/>
                <w:szCs w:val="24"/>
              </w:rPr>
            </w:pPr>
            <w:r w:rsidRPr="00F50898">
              <w:rPr>
                <w:rFonts w:eastAsia="Times New Roman"/>
                <w:sz w:val="24"/>
                <w:szCs w:val="24"/>
              </w:rPr>
              <w:t>b) Có kinh nghiệm trong việc đầu tư phát triển ít nhất 01 dự án năng lượng được vận hành khai thác tại Việt Nam hoặc các nước trên thế giới, gồm trực tiếp đầu tư hoặc góp vốn đầu tư đáp ứng tỷ lệ quy định tại điểm a khoản này hoặc thực hiện một trong các hoạt động như quản lý dự án, thiết kế, thi công xây dựng. Trường hợp nhiều nhà đầu tư liên danh thì điều kiện về năng lực kinh nghiệm được tính bằng tổng năng lực kinh nghiệm của các thành viên trong liên danh.</w:t>
            </w:r>
          </w:p>
        </w:tc>
        <w:tc>
          <w:tcPr>
            <w:tcW w:w="3641" w:type="dxa"/>
          </w:tcPr>
          <w:p w14:paraId="012B1785" w14:textId="77777777" w:rsidR="00F50898" w:rsidRPr="00F50898" w:rsidRDefault="00F50898" w:rsidP="00F50898">
            <w:pPr>
              <w:spacing w:before="120" w:after="120" w:line="234" w:lineRule="atLeast"/>
              <w:jc w:val="both"/>
              <w:rPr>
                <w:rFonts w:eastAsia="Times New Roman"/>
                <w:sz w:val="24"/>
                <w:szCs w:val="24"/>
              </w:rPr>
            </w:pPr>
            <w:r w:rsidRPr="00F50898">
              <w:rPr>
                <w:rFonts w:eastAsia="Times New Roman"/>
                <w:sz w:val="24"/>
                <w:szCs w:val="24"/>
              </w:rPr>
              <w:lastRenderedPageBreak/>
              <w:t>Bổ sung yêu cầu về điều kiện doanh nghiệp lập hồ sơ đề nghị chấp thuận chủ trương đầu tư điện gió ngoài khơi là doanh nghiệp có uy tín, thực lực phù hợp với tinh thần Nghị quyết số 70-NQ/TW tại mục 3 Phần III đối với điện gió và điện mặt trời: “nghiên cứu, giao nhiệm vụ cho một số doanh nghiệp lớn nhà nước, tư nhân uy tín, thương hiệu, có thực lực để thực hiện nhiệm vụ phát triển các dự án điện gió ngoài khơi quy mô lớn gắn với bảo đảm quốc phòng, an ninh, bảo vệ chủ quyền biển, đảo”.</w:t>
            </w:r>
          </w:p>
          <w:p w14:paraId="5693E651" w14:textId="6D31ED0E" w:rsidR="00F50898" w:rsidRPr="00931939" w:rsidRDefault="00F50898" w:rsidP="00F50898">
            <w:pPr>
              <w:spacing w:before="120" w:after="120" w:line="234" w:lineRule="atLeast"/>
              <w:jc w:val="both"/>
              <w:rPr>
                <w:rFonts w:eastAsia="Times New Roman"/>
                <w:sz w:val="24"/>
                <w:szCs w:val="24"/>
              </w:rPr>
            </w:pPr>
            <w:r w:rsidRPr="00F50898">
              <w:rPr>
                <w:rFonts w:eastAsia="Times New Roman"/>
                <w:sz w:val="24"/>
                <w:szCs w:val="24"/>
              </w:rPr>
              <w:t xml:space="preserve">Dự án điện gió ngoài khơi là dự án nguồn điện có quy mô và tổng vốn đầu tư lớn (dự án tối thiểu có quy mô công suất là 500 MW và tổng vốn đầu tư ước tính khoảng 50.000 ty đồng). Do đó, đòi hỏi doanh nghiệp để tham gia đầu tư dự án phải có tiềm lực tài chính lớn, có uy </w:t>
            </w:r>
            <w:r w:rsidRPr="00F50898">
              <w:rPr>
                <w:rFonts w:eastAsia="Times New Roman"/>
                <w:sz w:val="24"/>
                <w:szCs w:val="24"/>
              </w:rPr>
              <w:lastRenderedPageBreak/>
              <w:t>tín để có thể vay vốn từ các tổ chức tín dụng trong và ngoài nước, có kinh nghiệm thực hiện dự án năng lượng.</w:t>
            </w:r>
          </w:p>
        </w:tc>
        <w:tc>
          <w:tcPr>
            <w:tcW w:w="3641" w:type="dxa"/>
          </w:tcPr>
          <w:p w14:paraId="02F7A678" w14:textId="77777777" w:rsidR="00F50898" w:rsidRPr="00931939" w:rsidRDefault="00F50898" w:rsidP="00C20382">
            <w:pPr>
              <w:spacing w:before="120" w:after="120" w:line="234" w:lineRule="atLeast"/>
              <w:rPr>
                <w:rFonts w:eastAsia="Times New Roman"/>
                <w:sz w:val="26"/>
                <w:szCs w:val="26"/>
              </w:rPr>
            </w:pPr>
          </w:p>
        </w:tc>
      </w:tr>
      <w:tr w:rsidR="00931939" w:rsidRPr="00931939" w14:paraId="1F6ACED5" w14:textId="77777777" w:rsidTr="00C20382">
        <w:tc>
          <w:tcPr>
            <w:tcW w:w="3640" w:type="dxa"/>
          </w:tcPr>
          <w:p w14:paraId="22822B23" w14:textId="63AEC20A" w:rsidR="009D2BB8" w:rsidRPr="00F50898" w:rsidRDefault="009D2BB8" w:rsidP="009D12B2">
            <w:pPr>
              <w:spacing w:before="120" w:after="120" w:line="234" w:lineRule="atLeast"/>
              <w:jc w:val="both"/>
              <w:rPr>
                <w:rFonts w:cs="Times New Roman"/>
                <w:b/>
                <w:bCs/>
                <w:sz w:val="24"/>
                <w:szCs w:val="24"/>
              </w:rPr>
            </w:pPr>
          </w:p>
        </w:tc>
        <w:tc>
          <w:tcPr>
            <w:tcW w:w="3640" w:type="dxa"/>
          </w:tcPr>
          <w:p w14:paraId="30FB064A" w14:textId="77777777" w:rsidR="009D12B2"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t>Việc tiếp nhận, giải quyết hồ sơ chấp thuận chủ trương đầu tư dự án điện gió ngoài khơi đã được quy định tại Luật Đầu tư và Nghị định số 31/2021/NĐ-CP được sửa đổi, bổ sung bởi Nghị định số 239/2025/NĐ-CP.</w:t>
            </w:r>
          </w:p>
          <w:p w14:paraId="292D0E77" w14:textId="77777777" w:rsidR="009D12B2"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t>Việc tiếp nhận, giải quyết hồ sơ khảo sát dự án điện gió ngoài khơi được quy định tại Nghị định số 11/2021/NĐ-CP được sửa đổi, bổ sung bởi Nghị định số 65/2025/NĐ-CP.</w:t>
            </w:r>
          </w:p>
          <w:p w14:paraId="76BDA4F8" w14:textId="4090ACF1" w:rsidR="009D2BB8"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t>Chưa có quy định về cơ chế phối hợp giữa cơ quan tiếp nhận hồ sơ đề nghị khảo sát dự án điện gió ngoài khơi và cơ quan tiếp nhận hồ sơ đề nghị chấp thuận chủ trương đầu tư.</w:t>
            </w:r>
          </w:p>
        </w:tc>
        <w:tc>
          <w:tcPr>
            <w:tcW w:w="3641" w:type="dxa"/>
          </w:tcPr>
          <w:p w14:paraId="646EB454" w14:textId="499F7C90" w:rsidR="009D2BB8" w:rsidRPr="00931939" w:rsidRDefault="009D2BB8" w:rsidP="002642FE">
            <w:pPr>
              <w:spacing w:before="120" w:after="120" w:line="234" w:lineRule="atLeast"/>
              <w:jc w:val="both"/>
              <w:rPr>
                <w:rFonts w:eastAsia="Times New Roman"/>
                <w:sz w:val="24"/>
                <w:szCs w:val="24"/>
              </w:rPr>
            </w:pPr>
          </w:p>
        </w:tc>
        <w:tc>
          <w:tcPr>
            <w:tcW w:w="3641" w:type="dxa"/>
          </w:tcPr>
          <w:p w14:paraId="0608ECA3" w14:textId="77777777" w:rsidR="009D2BB8" w:rsidRPr="00931939" w:rsidRDefault="009D2BB8" w:rsidP="00C20382">
            <w:pPr>
              <w:spacing w:before="120" w:after="120" w:line="234" w:lineRule="atLeast"/>
              <w:rPr>
                <w:rFonts w:eastAsia="Times New Roman"/>
                <w:sz w:val="26"/>
                <w:szCs w:val="26"/>
              </w:rPr>
            </w:pPr>
          </w:p>
        </w:tc>
      </w:tr>
      <w:tr w:rsidR="00811F17" w:rsidRPr="00931939" w14:paraId="74890B01" w14:textId="77777777" w:rsidTr="00C20382">
        <w:tc>
          <w:tcPr>
            <w:tcW w:w="3640" w:type="dxa"/>
          </w:tcPr>
          <w:p w14:paraId="0BF8A996" w14:textId="77777777" w:rsidR="00DA51D1" w:rsidRPr="00DA51D1" w:rsidRDefault="00DA51D1" w:rsidP="00DA51D1">
            <w:pPr>
              <w:spacing w:before="120" w:after="120" w:line="234" w:lineRule="atLeast"/>
              <w:jc w:val="both"/>
              <w:rPr>
                <w:rFonts w:cs="Times New Roman"/>
                <w:b/>
                <w:bCs/>
                <w:sz w:val="24"/>
                <w:szCs w:val="24"/>
              </w:rPr>
            </w:pPr>
            <w:r w:rsidRPr="00DA51D1">
              <w:rPr>
                <w:rFonts w:cs="Times New Roman"/>
                <w:b/>
                <w:bCs/>
                <w:sz w:val="24"/>
                <w:szCs w:val="24"/>
              </w:rPr>
              <w:t>Điều 9.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2025 - 2030</w:t>
            </w:r>
          </w:p>
          <w:p w14:paraId="5D8E91C5"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lastRenderedPageBreak/>
              <w:t>1. Bộ Nông nghiệp và Môi trường không giải quyết hồ sơ đề nghị khảo sát dự án điện gió ngoài khơi đối với các dự án điện gió ngoài khơi trong quy hoạch phát triển điện lực và có dự kiến giai đoạn vận hành năm 2025 - 2030.</w:t>
            </w:r>
          </w:p>
          <w:p w14:paraId="417B07D6"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2. Doanh nghiệp đáp ứng quy định tại Điều 8 của Nghị định nộp 01 bộ hồ sơ đề nghị chấp thuận chủ trương đầu tư dự án theo quy định tại khoản 1 Điều 7 của Nghị định này và kèm theo bản điện tử của hồ sơ gửi cho Bộ Tài chính.</w:t>
            </w:r>
          </w:p>
          <w:p w14:paraId="27E86B58"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3. Thời gian tiếp nhận, gửi lấy ý kiến hồ sơ đề nghị chấp thuận chủ trương đầu tư thực hiện như sau:</w:t>
            </w:r>
          </w:p>
          <w:p w14:paraId="1A6AD734"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a) Bộ Tài chính công khai thông tin trên cổng thông tin điện tử của Bộ Tài chính về việc nhận hồ sơ đề nghị chấp thuận chủ trương đầu tư điện gió ngoài khơi trong vòng 03 (ba) ngày làm việc từ ngày nhận được hồ sơ hợp lệ của nhà đầu tư;</w:t>
            </w:r>
          </w:p>
          <w:p w14:paraId="0FCE9D44"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b) Hồ sơ đề xuất gửi đến Bộ Tài chính trong thời hạn 20 (hai mươi) ngày kể từ thời điểm nhận được hồ sơ hợp lệ đầu tiên của nhà đầu tư sẽ được Bộ Tài chính tiếp nhận, xem xét, giải quyết theo quy định;</w:t>
            </w:r>
          </w:p>
          <w:p w14:paraId="0473F619"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c) Trong thời hạn chưa có kết quả giải quyết hồ sơ tại điểm a, điểm b </w:t>
            </w:r>
            <w:r w:rsidRPr="00DA51D1">
              <w:rPr>
                <w:rFonts w:cs="Times New Roman"/>
                <w:bCs/>
                <w:sz w:val="24"/>
                <w:szCs w:val="24"/>
              </w:rPr>
              <w:lastRenderedPageBreak/>
              <w:t>khoản này, Bộ Tài chính thông báo trên cổng dịch vụ công việc từ chối tiếp nhận, giải quyết các hồ sơ được gửi đến Bộ Tài chính sau 20 (hai mươi) ngày kể từ thời điểm Bộ Tài chính nhận được hồ sơ hợp lệ đầu tiên của nhà đầu tư.</w:t>
            </w:r>
          </w:p>
          <w:p w14:paraId="6FB4DFFE"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4. Trường hợp có từ 02 (hai) nhà đầu tư trở lên cùng nộp hồ sơ hợp lệ đề nghị thực hiện cùng 01 (một) dự án điện gió ngoài khơi trong thời hạn 20 (hai mươi) ngày làm việc kể từ ngày nhận được hồ sơ hợp lệ của doanh nghiệp đầu tiên thì Bộ Tài chính thực hiện thủ tục sau:</w:t>
            </w:r>
          </w:p>
          <w:p w14:paraId="0901F4FC"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a) Thông báo bằng văn bản cho các doanh nghiệp nộp hồ sơ hợp lệ về việc thực hiện thủ tục chấp thuận chủ trương đầu tư và lựa chọn nhà đầu tư theo quy định tại khoản này trong thời hạn 05 (năm) ngày làm việc kể từ ngày kết thúc tiếp nhận hồ sơ theo khoản 3 Điều này. </w:t>
            </w:r>
          </w:p>
          <w:p w14:paraId="2B2015A1"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b) Thực hiện thủ tục lấy ý kiến, thẩm định, chấp thuận chủ trương đầu tư trên cơ sở đề xuất dự án đầu tư của doanh nghiệp theo thứ tự ưu tiên như sau:</w:t>
            </w:r>
          </w:p>
          <w:p w14:paraId="08EA902B"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b1) Hồ sơ đề xuất do doanh nghiệp đã được giao khu vực biển để khảo sát dưới hình thức độc lập hoặc liên </w:t>
            </w:r>
            <w:r w:rsidRPr="00DA51D1">
              <w:rPr>
                <w:rFonts w:cs="Times New Roman"/>
                <w:bCs/>
                <w:sz w:val="24"/>
                <w:szCs w:val="24"/>
              </w:rPr>
              <w:lastRenderedPageBreak/>
              <w:t xml:space="preserve">danh cho dự án tương ứng với khu vực được giao khảo sát; </w:t>
            </w:r>
          </w:p>
          <w:p w14:paraId="29A96A75"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b2) Hồ sơ đề xuất có mức giảm giá điện (bằng tiền Việt Nam đồng) so với khung giá tương ứng tại năm đàm phán cao hơn; </w:t>
            </w:r>
          </w:p>
          <w:p w14:paraId="6365E41E"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b3) Hồ sơ do doanh nghiệp đề xuất có tiến độ vận hành sớm hơn;</w:t>
            </w:r>
          </w:p>
          <w:p w14:paraId="56ED3607"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b4) Hồ sơ do doanh nghiệp đề xuất có tỷ lệ vốn chủ sở hữu cao hơn hoặc doanh nghiệp có năng lực tài chính, kinh nghiệm tốt hơn;</w:t>
            </w:r>
          </w:p>
          <w:p w14:paraId="653E904B"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b5) Thời gian nộp hồ sơ hợp lệ sớm hơn. </w:t>
            </w:r>
          </w:p>
          <w:p w14:paraId="2C3280B6"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c) Trường hợp hồ sơ do doanh nghiệp đề xuất có thứ tự ưu tiên cao nhất không đáp ứng các nội dung thẩm định thì thực hiện thủ tục lấy ý kiến, thẩm định, chấp thuận chủ trương đầu tư đối với hồ sơ do doanh nghiệp đề xuất theo nguyên tắc thứ tự ưu tiên tại điểm b khoản này.</w:t>
            </w:r>
          </w:p>
          <w:p w14:paraId="28809C70"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 xml:space="preserve">5. Trường hợp quá thời hạn 20 (hai mươi) ngày làm việc kể từ ngày nhận được hồ sơ hợp lệ đầu tiên nhưng chỉ có 01 (một) doanh nghiệp đề xuất chấp thuận chủ trương đầu tư đồng thời nhà đầu tư thì Bộ Tài chính tổ chức thẩm định để trình Thủ tướng Chính phủ quyết định chấp thuận chủ trương đầu tư đồng </w:t>
            </w:r>
            <w:r w:rsidRPr="00DA51D1">
              <w:rPr>
                <w:rFonts w:cs="Times New Roman"/>
                <w:bCs/>
                <w:sz w:val="24"/>
                <w:szCs w:val="24"/>
              </w:rPr>
              <w:lastRenderedPageBreak/>
              <w:t>thời chấp thuận nhà đầu tư dự án theo quy định của pháp luật về đầu tư.</w:t>
            </w:r>
          </w:p>
          <w:p w14:paraId="68FE31C0" w14:textId="77777777" w:rsidR="00DA51D1"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6. Bên mua điện thực hiện đàm phán, giao kết hợp đồng mua bán điện với doanh nghiệp được chấp thuận chủ trương đầu tư đồng thời chấp thuận nhà đầu tư theo quy định hiện hành và cam kết về mức giảm giá điện của doanh nghiệp trong hồ sơ đề nghị chấp thuận chủ trương đầu tư được cấp có thẩm quyền phê duyệt.</w:t>
            </w:r>
          </w:p>
          <w:p w14:paraId="070B5A06" w14:textId="7AC7945F" w:rsidR="00811F17" w:rsidRPr="00DA51D1" w:rsidRDefault="00DA51D1" w:rsidP="00DA51D1">
            <w:pPr>
              <w:spacing w:before="120" w:after="120" w:line="234" w:lineRule="atLeast"/>
              <w:jc w:val="both"/>
              <w:rPr>
                <w:rFonts w:cs="Times New Roman"/>
                <w:bCs/>
                <w:sz w:val="24"/>
                <w:szCs w:val="24"/>
              </w:rPr>
            </w:pPr>
            <w:r w:rsidRPr="00DA51D1">
              <w:rPr>
                <w:rFonts w:cs="Times New Roman"/>
                <w:bCs/>
                <w:sz w:val="24"/>
                <w:szCs w:val="24"/>
              </w:rPr>
              <w:t>7. Nội dung thẩm định hồ sơ đề nghị chấp thuận chủ trương đầu tư đồng thời chấp thuận nhà đầu tư điện gió ngoài khơi theo quy định của pháp luật về đầu tư và đánh giá điều kiện về quốc phòng, an ninh, chủ quyền quốc gia, tài nguyên - môi trường biển và hải đảo, hàng hải, dầu khí, du lịch.</w:t>
            </w:r>
          </w:p>
        </w:tc>
        <w:tc>
          <w:tcPr>
            <w:tcW w:w="3640" w:type="dxa"/>
          </w:tcPr>
          <w:p w14:paraId="59895F49" w14:textId="6359CC52" w:rsidR="00811F17" w:rsidRPr="00931939" w:rsidRDefault="00FE7B79" w:rsidP="009D12B2">
            <w:pPr>
              <w:spacing w:before="120" w:after="120" w:line="234" w:lineRule="atLeast"/>
              <w:jc w:val="both"/>
              <w:rPr>
                <w:rFonts w:eastAsia="Times New Roman"/>
                <w:sz w:val="24"/>
                <w:szCs w:val="24"/>
              </w:rPr>
            </w:pPr>
            <w:r>
              <w:rPr>
                <w:rFonts w:eastAsia="Times New Roman"/>
                <w:sz w:val="24"/>
                <w:szCs w:val="24"/>
              </w:rPr>
              <w:lastRenderedPageBreak/>
              <w:t>Không quy định cơ chế phối hợp giữa cơ quan tiếp nhận hồ sơ đề xuất khảo sát dự án điện gió ngoài khơi; không quy định về quy trình xét hồ sơ đề nghị chấp thuận chủ trương đầu tư điện gió ngoài khơi đặc thù trong quy hoạch phát triển điện lực và dự kiến vận hành trong giai đoạn 2025 - 2030</w:t>
            </w:r>
          </w:p>
        </w:tc>
        <w:tc>
          <w:tcPr>
            <w:tcW w:w="3641" w:type="dxa"/>
          </w:tcPr>
          <w:p w14:paraId="06195BD3" w14:textId="391F4DBE" w:rsidR="00811F17" w:rsidRPr="00931939" w:rsidRDefault="00A210A5" w:rsidP="002642FE">
            <w:pPr>
              <w:spacing w:before="120" w:after="120" w:line="234" w:lineRule="atLeast"/>
              <w:jc w:val="both"/>
              <w:rPr>
                <w:rFonts w:eastAsia="Times New Roman"/>
                <w:sz w:val="24"/>
                <w:szCs w:val="24"/>
              </w:rPr>
            </w:pPr>
            <w:r w:rsidRPr="00A210A5">
              <w:rPr>
                <w:rFonts w:eastAsia="Times New Roman"/>
                <w:sz w:val="24"/>
                <w:szCs w:val="24"/>
              </w:rPr>
              <w:t xml:space="preserve">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Sở Tài chính tỉnh nơi có điểm gom công suất của dự án điện gió ngoài khơi. Do đó, để bảo đảm cơ chế phối hợp giữa hai cơ quan trong việc tiếp nhận hồ sơ điện gió ngoài khơi, tránh chồng lấn trong quá trình tổ chức thẩm định, trình cấp có thẩm quyền xem xét, quyết định, </w:t>
            </w:r>
            <w:r w:rsidRPr="00A210A5">
              <w:rPr>
                <w:rFonts w:eastAsia="Times New Roman"/>
                <w:sz w:val="24"/>
                <w:szCs w:val="24"/>
              </w:rPr>
              <w:lastRenderedPageBreak/>
              <w:t xml:space="preserve">cần xây dựng cơ chế </w:t>
            </w:r>
            <w:r>
              <w:rPr>
                <w:rFonts w:eastAsia="Times New Roman"/>
                <w:sz w:val="24"/>
                <w:szCs w:val="24"/>
              </w:rPr>
              <w:t>phối hợp giữa các cơ quan</w:t>
            </w:r>
            <w:r w:rsidRPr="00A210A5">
              <w:rPr>
                <w:rFonts w:eastAsia="Times New Roman"/>
                <w:sz w:val="24"/>
                <w:szCs w:val="24"/>
              </w:rPr>
              <w:t>; cơ chế phối hợp giữa cơ quan tiếp nhận hồ sơ và cơ quan chủ trì thẩm định hồ sơ; trình tự, thủ tục để tổ chức thẩm định</w:t>
            </w:r>
            <w:r>
              <w:rPr>
                <w:rFonts w:eastAsia="Times New Roman"/>
                <w:sz w:val="24"/>
                <w:szCs w:val="24"/>
              </w:rPr>
              <w:t xml:space="preserve"> hồ sơ đề nghị chấp thuận </w:t>
            </w:r>
            <w:r>
              <w:rPr>
                <w:rFonts w:eastAsia="Times New Roman"/>
                <w:sz w:val="24"/>
                <w:szCs w:val="24"/>
              </w:rPr>
              <w:t>chủ trương đầu tư điện gió ngoài khơi đặc thù trong quy hoạch phát triển điện lực và dự kiến vận hành trong giai đoạn 2025 - 2030</w:t>
            </w:r>
            <w:r w:rsidRPr="00A210A5">
              <w:rPr>
                <w:rFonts w:eastAsia="Times New Roman"/>
                <w:sz w:val="24"/>
                <w:szCs w:val="24"/>
              </w:rPr>
              <w:t>.</w:t>
            </w:r>
          </w:p>
        </w:tc>
        <w:tc>
          <w:tcPr>
            <w:tcW w:w="3641" w:type="dxa"/>
          </w:tcPr>
          <w:p w14:paraId="15E45B23" w14:textId="77777777" w:rsidR="00811F17" w:rsidRPr="00931939" w:rsidRDefault="00811F17" w:rsidP="00C20382">
            <w:pPr>
              <w:spacing w:before="120" w:after="120" w:line="234" w:lineRule="atLeast"/>
              <w:rPr>
                <w:rFonts w:eastAsia="Times New Roman"/>
                <w:sz w:val="26"/>
                <w:szCs w:val="26"/>
              </w:rPr>
            </w:pPr>
          </w:p>
        </w:tc>
      </w:tr>
      <w:tr w:rsidR="00931939" w:rsidRPr="00931939" w14:paraId="28808666" w14:textId="77777777" w:rsidTr="00C20382">
        <w:tc>
          <w:tcPr>
            <w:tcW w:w="3640" w:type="dxa"/>
          </w:tcPr>
          <w:p w14:paraId="6825AF68" w14:textId="77777777" w:rsidR="00551BF1" w:rsidRPr="00551BF1" w:rsidRDefault="00551BF1" w:rsidP="00551BF1">
            <w:pPr>
              <w:spacing w:before="120" w:after="120" w:line="234" w:lineRule="atLeast"/>
              <w:jc w:val="both"/>
              <w:rPr>
                <w:rFonts w:cs="Times New Roman"/>
                <w:b/>
                <w:bCs/>
                <w:sz w:val="24"/>
                <w:szCs w:val="24"/>
                <w:lang w:val="vi-VN"/>
              </w:rPr>
            </w:pPr>
            <w:r w:rsidRPr="00551BF1">
              <w:rPr>
                <w:rFonts w:cs="Times New Roman"/>
                <w:b/>
                <w:bCs/>
                <w:sz w:val="24"/>
                <w:szCs w:val="24"/>
                <w:lang w:val="vi-VN"/>
              </w:rPr>
              <w:lastRenderedPageBreak/>
              <w:t xml:space="preserve">Điều 10.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w:t>
            </w:r>
            <w:r w:rsidRPr="00551BF1">
              <w:rPr>
                <w:rFonts w:cs="Times New Roman"/>
                <w:b/>
                <w:bCs/>
                <w:sz w:val="24"/>
                <w:szCs w:val="24"/>
                <w:lang w:val="vi-VN"/>
              </w:rPr>
              <w:lastRenderedPageBreak/>
              <w:t>điện gió ngoài khơi trong quy hoạch phát triển điện lực và dự kiến vận hành trong giai đoạn 2031 – 2035</w:t>
            </w:r>
          </w:p>
          <w:p w14:paraId="08C7277D" w14:textId="77777777" w:rsidR="00551BF1" w:rsidRPr="00551BF1" w:rsidRDefault="00551BF1" w:rsidP="00551BF1">
            <w:pPr>
              <w:spacing w:before="120" w:after="120" w:line="234" w:lineRule="atLeast"/>
              <w:jc w:val="both"/>
              <w:rPr>
                <w:rFonts w:cs="Times New Roman"/>
                <w:bCs/>
                <w:sz w:val="24"/>
                <w:szCs w:val="24"/>
                <w:lang w:val="vi-VN"/>
              </w:rPr>
            </w:pPr>
            <w:r w:rsidRPr="00551BF1">
              <w:rPr>
                <w:rFonts w:cs="Times New Roman"/>
                <w:bCs/>
                <w:sz w:val="24"/>
                <w:szCs w:val="24"/>
                <w:lang w:val="vi-VN"/>
              </w:rPr>
              <w:t>1. Sở Tài chính, Cơ quan đăng ký đầu tư thuộc Uỷ ban nhân dân cấp tỉnh nơi có điểm gom công suất dự án điện gió ngoài khơi không tiếp nhận hồ sơ đề nghị chấp thuận chủ trương đầu tư đối với các dự án điện gió ngoài khơi trong quy hoạch phát triển điện lực và dự kiến vận hành trong giai đoạn 2031 – 2035 khi chưa có kết quả khảo sát thực địa dự án.</w:t>
            </w:r>
          </w:p>
          <w:p w14:paraId="5B429FCE" w14:textId="77777777" w:rsidR="00551BF1" w:rsidRPr="00551BF1" w:rsidRDefault="00551BF1" w:rsidP="00551BF1">
            <w:pPr>
              <w:spacing w:before="120" w:after="120" w:line="234" w:lineRule="atLeast"/>
              <w:jc w:val="both"/>
              <w:rPr>
                <w:rFonts w:cs="Times New Roman"/>
                <w:bCs/>
                <w:sz w:val="24"/>
                <w:szCs w:val="24"/>
                <w:lang w:val="vi-VN"/>
              </w:rPr>
            </w:pPr>
            <w:r w:rsidRPr="00551BF1">
              <w:rPr>
                <w:rFonts w:cs="Times New Roman"/>
                <w:bCs/>
                <w:sz w:val="24"/>
                <w:szCs w:val="24"/>
                <w:lang w:val="vi-VN"/>
              </w:rPr>
              <w:t>2. Bộ Nông nghiệp và Môi trường tiếp nhận hồ sơ đề xuất khảo sát dự án điện gió ngoài khơi trong quy hoạch phát triển điện lực và dự kiến vận hành trong giai đoạn 2031 – 2035, thực hiện thẩm định theo quy định của pháp luật về tài nguyên, môi trường biển và hải đảo. Bộ Nông nghiệp và Môi trường có trách nghiệm gửi kết quả xử lý cho Bộ Công Thương, Uỷ ban nhân dân cấp tỉnh nơi có điểm gom công suất dự án điện gió ngoài khơi.</w:t>
            </w:r>
          </w:p>
          <w:p w14:paraId="25F980EC" w14:textId="77777777" w:rsidR="00551BF1" w:rsidRPr="00551BF1" w:rsidRDefault="00551BF1" w:rsidP="00551BF1">
            <w:pPr>
              <w:spacing w:before="120" w:after="120" w:line="234" w:lineRule="atLeast"/>
              <w:jc w:val="both"/>
              <w:rPr>
                <w:rFonts w:cs="Times New Roman"/>
                <w:bCs/>
                <w:sz w:val="24"/>
                <w:szCs w:val="24"/>
                <w:lang w:val="vi-VN"/>
              </w:rPr>
            </w:pPr>
            <w:r w:rsidRPr="00551BF1">
              <w:rPr>
                <w:rFonts w:cs="Times New Roman"/>
                <w:bCs/>
                <w:sz w:val="24"/>
                <w:szCs w:val="24"/>
                <w:lang w:val="vi-VN"/>
              </w:rPr>
              <w:t xml:space="preserve">3. Doanh nghiệp đáp ứng quy định tại Điều 8 của Nghị định này nộp 01 (một) bộ hồ sơ đề nghị chấp thuận chủ trương đầu tư dự án theo quy định tại khoản 2 Điều 7 của Nghị </w:t>
            </w:r>
            <w:r w:rsidRPr="00551BF1">
              <w:rPr>
                <w:rFonts w:cs="Times New Roman"/>
                <w:bCs/>
                <w:sz w:val="24"/>
                <w:szCs w:val="24"/>
                <w:lang w:val="vi-VN"/>
              </w:rPr>
              <w:lastRenderedPageBreak/>
              <w:t>định này và kèm theo bản điện tử của hồ sơ gửi cho Sở Tài chính, Cơ quan đăng ký đầu tư thuộc Uỷ ban nhân dân cấp tỉnh nơi có điểm gom công suất dự án điện gió ngoài khơi. Sở Tài chính, Cơ quan đăng ký đầu tư thuộc Uỷ ban nhân dân cấp tỉnh nơi có điểm gom công suất dự án điện gió ngoài khơi tổ chức thẩm định theo quy định của pháp luật hiện hành.</w:t>
            </w:r>
          </w:p>
          <w:p w14:paraId="0CC3E72E" w14:textId="6FD3A477" w:rsidR="009D2BB8" w:rsidRPr="00551BF1" w:rsidRDefault="00551BF1" w:rsidP="00551BF1">
            <w:pPr>
              <w:spacing w:before="120" w:after="120" w:line="234" w:lineRule="atLeast"/>
              <w:jc w:val="both"/>
              <w:rPr>
                <w:rFonts w:cs="Times New Roman"/>
                <w:bCs/>
                <w:sz w:val="24"/>
                <w:szCs w:val="24"/>
                <w:lang w:val="vi-VN"/>
              </w:rPr>
            </w:pPr>
            <w:r w:rsidRPr="00551BF1">
              <w:rPr>
                <w:rFonts w:cs="Times New Roman"/>
                <w:bCs/>
                <w:sz w:val="24"/>
                <w:szCs w:val="24"/>
                <w:lang w:val="vi-VN"/>
              </w:rPr>
              <w:t>4. Nội dung thẩm định hồ sơ đề nghị chấp thuận chủ trương đầu tư theo quy định của pháp luật về đầu tư và đánh giá điều kiện về quốc phòng, an ninh, chủ quyền quốc gia, tài nguyên, môi trường biển và hải đảo, hàng hải, dầu khí, du lịch.</w:t>
            </w:r>
          </w:p>
        </w:tc>
        <w:tc>
          <w:tcPr>
            <w:tcW w:w="3640" w:type="dxa"/>
          </w:tcPr>
          <w:p w14:paraId="277FA3CA" w14:textId="77777777" w:rsidR="009D12B2"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lastRenderedPageBreak/>
              <w:t>Việc tiếp nhận, giải quyết hồ sơ chấp thuận chủ trương đầu tư dự án điện gió ngoài khơi đã được quy định tại Luật Đầu tư và Nghị định số 31/2021/NĐ-CP được sửa đổi, bổ sung bởi Nghị định số 239/2025/NĐ-CP.</w:t>
            </w:r>
          </w:p>
          <w:p w14:paraId="66BB41FD" w14:textId="77777777" w:rsidR="009D12B2"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t xml:space="preserve">Việc tiếp nhận, giải quyết hồ sơ khảo sát dự án điện gió ngoài khơi được quy định tại Nghị định số </w:t>
            </w:r>
            <w:r w:rsidRPr="00931939">
              <w:rPr>
                <w:rFonts w:eastAsia="Times New Roman"/>
                <w:sz w:val="24"/>
                <w:szCs w:val="24"/>
              </w:rPr>
              <w:lastRenderedPageBreak/>
              <w:t>11/2021/NĐ-CP được sửa đổi, bổ sung bởi Nghị định số 65/2025/NĐ-CP.</w:t>
            </w:r>
          </w:p>
          <w:p w14:paraId="528888F5" w14:textId="38DF7D4C" w:rsidR="009D2BB8" w:rsidRPr="00931939" w:rsidRDefault="009D12B2" w:rsidP="009D12B2">
            <w:pPr>
              <w:spacing w:before="120" w:after="120" w:line="234" w:lineRule="atLeast"/>
              <w:jc w:val="both"/>
              <w:rPr>
                <w:rFonts w:eastAsia="Times New Roman"/>
                <w:sz w:val="24"/>
                <w:szCs w:val="24"/>
              </w:rPr>
            </w:pPr>
            <w:r w:rsidRPr="00931939">
              <w:rPr>
                <w:rFonts w:eastAsia="Times New Roman"/>
                <w:sz w:val="24"/>
                <w:szCs w:val="24"/>
              </w:rPr>
              <w:t>Chưa có quy định về cơ chế phối hợp giữa cơ quan tiếp nhận hồ sơ đề nghị khảo sát dự án điện gió ngoài khơi và cơ quan tiếp nhận hồ sơ đề nghị chấp thuận chủ trương đầu tư.</w:t>
            </w:r>
          </w:p>
        </w:tc>
        <w:tc>
          <w:tcPr>
            <w:tcW w:w="3641" w:type="dxa"/>
          </w:tcPr>
          <w:p w14:paraId="5AFB0725" w14:textId="714F92C8" w:rsidR="009D2BB8" w:rsidRPr="00931939" w:rsidRDefault="009D12B2" w:rsidP="002642FE">
            <w:pPr>
              <w:spacing w:before="120" w:after="120" w:line="234" w:lineRule="atLeast"/>
              <w:jc w:val="both"/>
              <w:rPr>
                <w:rFonts w:eastAsia="Times New Roman"/>
                <w:sz w:val="24"/>
                <w:szCs w:val="24"/>
              </w:rPr>
            </w:pPr>
            <w:r w:rsidRPr="00931939">
              <w:rPr>
                <w:rFonts w:eastAsia="Times New Roman"/>
                <w:sz w:val="24"/>
                <w:szCs w:val="24"/>
              </w:rPr>
              <w:lastRenderedPageBreak/>
              <w:t xml:space="preserve">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Sở Tài chính tỉnh nơi có điểm gom công suất của dự án điện gió ngoài khơi. Do đó, để bảo đảm cơ chế phối hợp giữa hai cơ quan trong </w:t>
            </w:r>
            <w:r w:rsidRPr="00931939">
              <w:rPr>
                <w:rFonts w:eastAsia="Times New Roman"/>
                <w:sz w:val="24"/>
                <w:szCs w:val="24"/>
              </w:rPr>
              <w:lastRenderedPageBreak/>
              <w:t xml:space="preserve">việc tiếp nhận hồ sơ điện gió ngoài khơi, tránh chồng lấn trong quá trình tổ chức thẩm định, trình cấp có thẩm quyền xem xét, quyết định, cần xây dựng cơ chế </w:t>
            </w:r>
            <w:r w:rsidR="00FB4989">
              <w:rPr>
                <w:rFonts w:eastAsia="Times New Roman"/>
                <w:sz w:val="24"/>
                <w:szCs w:val="24"/>
              </w:rPr>
              <w:t>phối hợp</w:t>
            </w:r>
            <w:r w:rsidRPr="00931939">
              <w:rPr>
                <w:rFonts w:eastAsia="Times New Roman"/>
                <w:sz w:val="24"/>
                <w:szCs w:val="24"/>
              </w:rPr>
              <w:t xml:space="preserve"> trong tiếp nhận các hồ sơ nêu trên; cơ chế phối hợp giữa cơ quan tiếp nhận hồ sơ và cơ quan chủ trì thẩm định hồ sơ.</w:t>
            </w:r>
          </w:p>
        </w:tc>
        <w:tc>
          <w:tcPr>
            <w:tcW w:w="3641" w:type="dxa"/>
          </w:tcPr>
          <w:p w14:paraId="6B4DF36D" w14:textId="77777777" w:rsidR="009D2BB8" w:rsidRPr="00931939" w:rsidRDefault="009D2BB8" w:rsidP="00C20382">
            <w:pPr>
              <w:spacing w:before="120" w:after="120" w:line="234" w:lineRule="atLeast"/>
              <w:rPr>
                <w:rFonts w:eastAsia="Times New Roman"/>
                <w:sz w:val="26"/>
                <w:szCs w:val="26"/>
              </w:rPr>
            </w:pPr>
          </w:p>
        </w:tc>
      </w:tr>
      <w:tr w:rsidR="00931939" w:rsidRPr="00931939" w14:paraId="6BDBCAA0" w14:textId="77777777" w:rsidTr="00C20382">
        <w:tc>
          <w:tcPr>
            <w:tcW w:w="3640" w:type="dxa"/>
          </w:tcPr>
          <w:p w14:paraId="607985C3" w14:textId="48991900" w:rsidR="009D2BB8" w:rsidRPr="00931939" w:rsidRDefault="008C27B7" w:rsidP="00C20382">
            <w:pPr>
              <w:spacing w:before="120" w:after="120" w:line="234" w:lineRule="atLeast"/>
              <w:jc w:val="both"/>
              <w:rPr>
                <w:rFonts w:cs="Times New Roman"/>
                <w:b/>
                <w:bCs/>
                <w:sz w:val="24"/>
                <w:szCs w:val="24"/>
                <w:lang w:val="vi-VN"/>
              </w:rPr>
            </w:pPr>
            <w:r w:rsidRPr="00931939">
              <w:rPr>
                <w:rFonts w:cs="Times New Roman"/>
                <w:b/>
                <w:bCs/>
                <w:sz w:val="24"/>
                <w:szCs w:val="24"/>
                <w:lang w:val="vi-VN"/>
              </w:rPr>
              <w:lastRenderedPageBreak/>
              <w:t>Điều 10. Tổ chức thực hiện</w:t>
            </w:r>
          </w:p>
        </w:tc>
        <w:tc>
          <w:tcPr>
            <w:tcW w:w="3640" w:type="dxa"/>
          </w:tcPr>
          <w:p w14:paraId="310D7A15" w14:textId="77777777" w:rsidR="009D2BB8" w:rsidRPr="00931939" w:rsidRDefault="009D2BB8" w:rsidP="002642FE">
            <w:pPr>
              <w:spacing w:before="120" w:after="120" w:line="234" w:lineRule="atLeast"/>
              <w:jc w:val="both"/>
              <w:rPr>
                <w:rFonts w:eastAsia="Times New Roman"/>
                <w:sz w:val="24"/>
                <w:szCs w:val="24"/>
              </w:rPr>
            </w:pPr>
          </w:p>
        </w:tc>
        <w:tc>
          <w:tcPr>
            <w:tcW w:w="3641" w:type="dxa"/>
          </w:tcPr>
          <w:p w14:paraId="6D115536" w14:textId="77777777" w:rsidR="009D2BB8" w:rsidRPr="00931939" w:rsidRDefault="009D2BB8" w:rsidP="002642FE">
            <w:pPr>
              <w:spacing w:before="120" w:after="120" w:line="234" w:lineRule="atLeast"/>
              <w:jc w:val="both"/>
              <w:rPr>
                <w:rFonts w:eastAsia="Times New Roman"/>
                <w:sz w:val="24"/>
                <w:szCs w:val="24"/>
              </w:rPr>
            </w:pPr>
          </w:p>
        </w:tc>
        <w:tc>
          <w:tcPr>
            <w:tcW w:w="3641" w:type="dxa"/>
          </w:tcPr>
          <w:p w14:paraId="4CFEF3CD" w14:textId="77777777" w:rsidR="009D2BB8" w:rsidRPr="00931939" w:rsidRDefault="009D2BB8" w:rsidP="00C20382">
            <w:pPr>
              <w:spacing w:before="120" w:after="120" w:line="234" w:lineRule="atLeast"/>
              <w:rPr>
                <w:rFonts w:eastAsia="Times New Roman"/>
                <w:sz w:val="26"/>
                <w:szCs w:val="26"/>
              </w:rPr>
            </w:pPr>
          </w:p>
        </w:tc>
      </w:tr>
      <w:tr w:rsidR="00931939" w:rsidRPr="00931939" w14:paraId="25C5BD68" w14:textId="77777777" w:rsidTr="00C20382">
        <w:tc>
          <w:tcPr>
            <w:tcW w:w="3640" w:type="dxa"/>
          </w:tcPr>
          <w:p w14:paraId="48284ACF" w14:textId="63DF9C8D" w:rsidR="009D2BB8" w:rsidRPr="00931939" w:rsidRDefault="008C27B7" w:rsidP="00C20382">
            <w:pPr>
              <w:spacing w:before="120" w:after="120" w:line="234" w:lineRule="atLeast"/>
              <w:jc w:val="both"/>
              <w:rPr>
                <w:rFonts w:cs="Times New Roman"/>
                <w:b/>
                <w:bCs/>
                <w:sz w:val="24"/>
                <w:szCs w:val="24"/>
                <w:lang w:val="vi-VN"/>
              </w:rPr>
            </w:pPr>
            <w:r w:rsidRPr="00931939">
              <w:rPr>
                <w:rFonts w:cs="Times New Roman"/>
                <w:b/>
                <w:bCs/>
                <w:sz w:val="24"/>
                <w:szCs w:val="24"/>
                <w:lang w:val="vi-VN"/>
              </w:rPr>
              <w:t>Điều 11. Điều khoản thi hành</w:t>
            </w:r>
          </w:p>
        </w:tc>
        <w:tc>
          <w:tcPr>
            <w:tcW w:w="3640" w:type="dxa"/>
          </w:tcPr>
          <w:p w14:paraId="4CCAD186" w14:textId="77777777" w:rsidR="009D2BB8" w:rsidRPr="00931939" w:rsidRDefault="009D2BB8" w:rsidP="002642FE">
            <w:pPr>
              <w:spacing w:before="120" w:after="120" w:line="234" w:lineRule="atLeast"/>
              <w:jc w:val="both"/>
              <w:rPr>
                <w:rFonts w:eastAsia="Times New Roman"/>
                <w:sz w:val="24"/>
                <w:szCs w:val="24"/>
              </w:rPr>
            </w:pPr>
          </w:p>
        </w:tc>
        <w:tc>
          <w:tcPr>
            <w:tcW w:w="3641" w:type="dxa"/>
          </w:tcPr>
          <w:p w14:paraId="1BD4D1DB" w14:textId="77777777" w:rsidR="009D2BB8" w:rsidRPr="00931939" w:rsidRDefault="009D2BB8" w:rsidP="002642FE">
            <w:pPr>
              <w:spacing w:before="120" w:after="120" w:line="234" w:lineRule="atLeast"/>
              <w:jc w:val="both"/>
              <w:rPr>
                <w:rFonts w:eastAsia="Times New Roman"/>
                <w:sz w:val="24"/>
                <w:szCs w:val="24"/>
              </w:rPr>
            </w:pPr>
          </w:p>
        </w:tc>
        <w:tc>
          <w:tcPr>
            <w:tcW w:w="3641" w:type="dxa"/>
          </w:tcPr>
          <w:p w14:paraId="4E837FAC" w14:textId="77777777" w:rsidR="009D2BB8" w:rsidRPr="00931939" w:rsidRDefault="009D2BB8" w:rsidP="00C20382">
            <w:pPr>
              <w:spacing w:before="120" w:after="120" w:line="234" w:lineRule="atLeast"/>
              <w:rPr>
                <w:rFonts w:eastAsia="Times New Roman"/>
                <w:sz w:val="26"/>
                <w:szCs w:val="26"/>
              </w:rPr>
            </w:pPr>
          </w:p>
        </w:tc>
      </w:tr>
    </w:tbl>
    <w:p w14:paraId="2AC7298A" w14:textId="03B63150" w:rsidR="00CF5357" w:rsidRPr="00931939" w:rsidRDefault="00CF5357" w:rsidP="00CF5357">
      <w:pPr>
        <w:shd w:val="clear" w:color="auto" w:fill="FFFFFF"/>
        <w:spacing w:before="120" w:after="120" w:line="234" w:lineRule="atLeast"/>
        <w:rPr>
          <w:rFonts w:eastAsia="Times New Roman"/>
          <w:b/>
          <w:bCs/>
          <w:sz w:val="26"/>
          <w:szCs w:val="26"/>
        </w:rPr>
      </w:pPr>
      <w:r w:rsidRPr="00931939">
        <w:rPr>
          <w:rFonts w:eastAsia="Times New Roman"/>
          <w:b/>
          <w:bCs/>
          <w:sz w:val="26"/>
          <w:szCs w:val="26"/>
          <w:lang w:val="vi-VN"/>
        </w:rPr>
        <w:t xml:space="preserve">3. Điều ước quốc tế có liên quan đến </w:t>
      </w:r>
      <w:r w:rsidR="003D32CD" w:rsidRPr="00931939">
        <w:rPr>
          <w:rFonts w:eastAsia="Times New Roman"/>
          <w:b/>
          <w:bCs/>
          <w:sz w:val="26"/>
          <w:szCs w:val="26"/>
        </w:rPr>
        <w:t>Nghị định</w:t>
      </w:r>
    </w:p>
    <w:tbl>
      <w:tblPr>
        <w:tblStyle w:val="TableGrid"/>
        <w:tblW w:w="0" w:type="auto"/>
        <w:tblLook w:val="04A0" w:firstRow="1" w:lastRow="0" w:firstColumn="1" w:lastColumn="0" w:noHBand="0" w:noVBand="1"/>
      </w:tblPr>
      <w:tblGrid>
        <w:gridCol w:w="3640"/>
        <w:gridCol w:w="3640"/>
        <w:gridCol w:w="3641"/>
        <w:gridCol w:w="3641"/>
      </w:tblGrid>
      <w:tr w:rsidR="00931939" w:rsidRPr="00931939" w14:paraId="639F3005" w14:textId="77777777" w:rsidTr="00B2531F">
        <w:tc>
          <w:tcPr>
            <w:tcW w:w="3640" w:type="dxa"/>
            <w:vAlign w:val="center"/>
          </w:tcPr>
          <w:p w14:paraId="584C8B67" w14:textId="193C3778" w:rsidR="006B52E9" w:rsidRPr="00931939" w:rsidRDefault="006B52E9" w:rsidP="006B52E9">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CHÍNH SÁCH/ QUY ĐỊNH CỦA DỰ THẢO VĂN BẢN</w:t>
            </w:r>
          </w:p>
        </w:tc>
        <w:tc>
          <w:tcPr>
            <w:tcW w:w="3640" w:type="dxa"/>
            <w:vAlign w:val="center"/>
          </w:tcPr>
          <w:p w14:paraId="0B8CC676" w14:textId="3628C4D2" w:rsidR="006B52E9" w:rsidRPr="00931939" w:rsidRDefault="006B52E9" w:rsidP="006B52E9">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QUY ĐỊNH CỦA ĐI</w:t>
            </w:r>
            <w:r w:rsidRPr="00931939">
              <w:rPr>
                <w:rFonts w:eastAsia="Times New Roman" w:cs="Times New Roman"/>
                <w:b/>
                <w:bCs/>
                <w:sz w:val="26"/>
                <w:szCs w:val="26"/>
                <w14:ligatures w14:val="none"/>
              </w:rPr>
              <w:t>ỀU</w:t>
            </w:r>
            <w:r w:rsidRPr="00931939">
              <w:rPr>
                <w:rFonts w:eastAsia="Times New Roman" w:cs="Times New Roman"/>
                <w:b/>
                <w:bCs/>
                <w:sz w:val="26"/>
                <w:szCs w:val="26"/>
                <w:lang w:val="vi-VN"/>
                <w14:ligatures w14:val="none"/>
              </w:rPr>
              <w:t> Ư</w:t>
            </w:r>
            <w:r w:rsidRPr="00931939">
              <w:rPr>
                <w:rFonts w:eastAsia="Times New Roman" w:cs="Times New Roman"/>
                <w:b/>
                <w:bCs/>
                <w:sz w:val="26"/>
                <w:szCs w:val="26"/>
                <w14:ligatures w14:val="none"/>
              </w:rPr>
              <w:t>Ớ</w:t>
            </w:r>
            <w:r w:rsidRPr="00931939">
              <w:rPr>
                <w:rFonts w:eastAsia="Times New Roman" w:cs="Times New Roman"/>
                <w:b/>
                <w:bCs/>
                <w:sz w:val="26"/>
                <w:szCs w:val="26"/>
                <w:lang w:val="vi-VN"/>
                <w14:ligatures w14:val="none"/>
              </w:rPr>
              <w:t>C QU</w:t>
            </w:r>
            <w:r w:rsidRPr="00931939">
              <w:rPr>
                <w:rFonts w:eastAsia="Times New Roman" w:cs="Times New Roman"/>
                <w:b/>
                <w:bCs/>
                <w:sz w:val="26"/>
                <w:szCs w:val="26"/>
                <w14:ligatures w14:val="none"/>
              </w:rPr>
              <w:t>Ố</w:t>
            </w:r>
            <w:r w:rsidRPr="00931939">
              <w:rPr>
                <w:rFonts w:eastAsia="Times New Roman" w:cs="Times New Roman"/>
                <w:b/>
                <w:bCs/>
                <w:sz w:val="26"/>
                <w:szCs w:val="26"/>
                <w:lang w:val="vi-VN"/>
                <w14:ligatures w14:val="none"/>
              </w:rPr>
              <w:t>C T</w:t>
            </w:r>
            <w:r w:rsidRPr="00931939">
              <w:rPr>
                <w:rFonts w:eastAsia="Times New Roman" w:cs="Times New Roman"/>
                <w:b/>
                <w:bCs/>
                <w:sz w:val="26"/>
                <w:szCs w:val="26"/>
                <w14:ligatures w14:val="none"/>
              </w:rPr>
              <w:t>Ế</w:t>
            </w:r>
            <w:r w:rsidRPr="00931939">
              <w:rPr>
                <w:rFonts w:eastAsia="Times New Roman" w:cs="Times New Roman"/>
                <w:b/>
                <w:bCs/>
                <w:sz w:val="26"/>
                <w:szCs w:val="26"/>
                <w:lang w:val="vi-VN"/>
                <w14:ligatures w14:val="none"/>
              </w:rPr>
              <w:t> CÓ LIÊN QUAN</w:t>
            </w:r>
          </w:p>
        </w:tc>
        <w:tc>
          <w:tcPr>
            <w:tcW w:w="3641" w:type="dxa"/>
            <w:vAlign w:val="center"/>
          </w:tcPr>
          <w:p w14:paraId="32A660C1" w14:textId="5513780A" w:rsidR="006B52E9" w:rsidRPr="00931939" w:rsidRDefault="006B52E9" w:rsidP="006B52E9">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ĐÁNH GIÁ (chính sách/dự thảo văn bản tương thích với điều ước quốc tế)</w:t>
            </w:r>
          </w:p>
        </w:tc>
        <w:tc>
          <w:tcPr>
            <w:tcW w:w="3641" w:type="dxa"/>
            <w:vAlign w:val="center"/>
          </w:tcPr>
          <w:p w14:paraId="33DA9552" w14:textId="66F109F9" w:rsidR="006B52E9" w:rsidRPr="00931939" w:rsidRDefault="006B52E9" w:rsidP="006B52E9">
            <w:pPr>
              <w:spacing w:before="120" w:after="120" w:line="234" w:lineRule="atLeast"/>
              <w:jc w:val="center"/>
              <w:rPr>
                <w:rFonts w:eastAsia="Times New Roman"/>
                <w:sz w:val="26"/>
                <w:szCs w:val="26"/>
              </w:rPr>
            </w:pPr>
            <w:r w:rsidRPr="00931939">
              <w:rPr>
                <w:rFonts w:eastAsia="Times New Roman" w:cs="Times New Roman"/>
                <w:b/>
                <w:bCs/>
                <w:sz w:val="26"/>
                <w:szCs w:val="26"/>
                <w:lang w:val="vi-VN"/>
                <w14:ligatures w14:val="none"/>
              </w:rPr>
              <w:t>ĐỀ XUẤT XỬ LÝ</w:t>
            </w:r>
          </w:p>
        </w:tc>
      </w:tr>
      <w:tr w:rsidR="00931939" w:rsidRPr="00931939" w14:paraId="2B55AE91" w14:textId="77777777" w:rsidTr="006B52E9">
        <w:tc>
          <w:tcPr>
            <w:tcW w:w="3640" w:type="dxa"/>
          </w:tcPr>
          <w:p w14:paraId="6D0229B9" w14:textId="40412B5E" w:rsidR="00491ED7" w:rsidRPr="00547862" w:rsidRDefault="00491ED7" w:rsidP="00491ED7">
            <w:pPr>
              <w:spacing w:before="120" w:after="120" w:line="234" w:lineRule="atLeast"/>
              <w:rPr>
                <w:rFonts w:eastAsia="Times New Roman"/>
                <w:sz w:val="24"/>
                <w:szCs w:val="24"/>
              </w:rPr>
            </w:pPr>
            <w:r w:rsidRPr="00547862">
              <w:rPr>
                <w:sz w:val="24"/>
                <w:szCs w:val="24"/>
              </w:rPr>
              <w:t xml:space="preserve">Điều 3, Điều 4: Quy định cơ chế đặc thù về điều chỉnh cập nhật quy hoạch phát triển điện lực và điều chỉnh cập nhật phương án phát triển mạng lưới cấp điện trong Quy </w:t>
            </w:r>
            <w:r w:rsidRPr="00547862">
              <w:rPr>
                <w:sz w:val="24"/>
                <w:szCs w:val="24"/>
              </w:rPr>
              <w:lastRenderedPageBreak/>
              <w:t>hoạch tỉnh; tạo cơ sở để lồng ghép kịp thời các yêu cầu về phát triển bền vững, chuyển dịch năng lượng và mục tiêu giảm phát thải trong quá trình cập nhật quy hoạch.</w:t>
            </w:r>
          </w:p>
        </w:tc>
        <w:tc>
          <w:tcPr>
            <w:tcW w:w="3640" w:type="dxa"/>
          </w:tcPr>
          <w:p w14:paraId="1F298387" w14:textId="77777777" w:rsidR="00491ED7" w:rsidRPr="00547862" w:rsidRDefault="00491ED7" w:rsidP="001A7577">
            <w:pPr>
              <w:jc w:val="both"/>
              <w:rPr>
                <w:sz w:val="24"/>
                <w:szCs w:val="24"/>
              </w:rPr>
            </w:pPr>
            <w:bookmarkStart w:id="4" w:name="_Hlk218694013"/>
            <w:r w:rsidRPr="00547862">
              <w:rPr>
                <w:sz w:val="24"/>
                <w:szCs w:val="24"/>
              </w:rPr>
              <w:lastRenderedPageBreak/>
              <w:t>Công ước khung của Liên hợp quốc về biến đổi khí hậu (UNFCCC).</w:t>
            </w:r>
          </w:p>
          <w:p w14:paraId="16A7855F" w14:textId="77777777" w:rsidR="00491ED7" w:rsidRPr="00547862" w:rsidRDefault="00491ED7" w:rsidP="001A7577">
            <w:pPr>
              <w:jc w:val="both"/>
              <w:rPr>
                <w:sz w:val="24"/>
                <w:szCs w:val="24"/>
              </w:rPr>
            </w:pPr>
            <w:r w:rsidRPr="00547862">
              <w:rPr>
                <w:sz w:val="24"/>
                <w:szCs w:val="24"/>
              </w:rPr>
              <w:lastRenderedPageBreak/>
              <w:t>Nghị định thư Kyoto (1997) thuộc UNFCCC.</w:t>
            </w:r>
          </w:p>
          <w:p w14:paraId="07078C5B" w14:textId="33B4513F" w:rsidR="00491ED7" w:rsidRPr="00547862" w:rsidRDefault="00491ED7" w:rsidP="001A7577">
            <w:pPr>
              <w:spacing w:before="120" w:after="120" w:line="234" w:lineRule="atLeast"/>
              <w:jc w:val="both"/>
              <w:rPr>
                <w:rFonts w:eastAsia="Times New Roman"/>
                <w:sz w:val="24"/>
                <w:szCs w:val="24"/>
              </w:rPr>
            </w:pPr>
            <w:r w:rsidRPr="00547862">
              <w:rPr>
                <w:sz w:val="24"/>
                <w:szCs w:val="24"/>
              </w:rPr>
              <w:t>Thỏa thuận Paris về biến đổi khí hậu (2015).</w:t>
            </w:r>
            <w:bookmarkEnd w:id="4"/>
          </w:p>
        </w:tc>
        <w:tc>
          <w:tcPr>
            <w:tcW w:w="3641" w:type="dxa"/>
          </w:tcPr>
          <w:p w14:paraId="47A03322" w14:textId="279DBF85" w:rsidR="00491ED7" w:rsidRPr="00547862" w:rsidRDefault="00491ED7" w:rsidP="001A7577">
            <w:pPr>
              <w:spacing w:before="120" w:after="120" w:line="234" w:lineRule="atLeast"/>
              <w:jc w:val="both"/>
              <w:rPr>
                <w:rFonts w:eastAsia="Times New Roman"/>
                <w:sz w:val="24"/>
                <w:szCs w:val="24"/>
              </w:rPr>
            </w:pPr>
            <w:r w:rsidRPr="00547862">
              <w:rPr>
                <w:sz w:val="24"/>
                <w:szCs w:val="24"/>
              </w:rPr>
              <w:lastRenderedPageBreak/>
              <w:t xml:space="preserve">Nội dung dự thảo không trái và không mâu thuẫn với các điều ước quốc tế nêu trên. Các quy định về điều chỉnh cập nhật quy hoạch có liên quan gián tiếp và có thể hỗ trợ </w:t>
            </w:r>
            <w:r w:rsidRPr="00547862">
              <w:rPr>
                <w:sz w:val="24"/>
                <w:szCs w:val="24"/>
              </w:rPr>
              <w:lastRenderedPageBreak/>
              <w:t>thực hiện các cam kết quốc tế về ứng phó biến đổi khí hậu thông qua việc tạo khuôn khổ để xem xét, lồng ghép mục tiêu giảm phát thải, chuyển dịch năng lượng khi cập nhật quy hoạch.</w:t>
            </w:r>
          </w:p>
        </w:tc>
        <w:tc>
          <w:tcPr>
            <w:tcW w:w="3641" w:type="dxa"/>
          </w:tcPr>
          <w:p w14:paraId="67D68268" w14:textId="77777777" w:rsidR="00491ED7" w:rsidRPr="00547862" w:rsidRDefault="00491ED7" w:rsidP="00491ED7">
            <w:pPr>
              <w:spacing w:before="120" w:after="120" w:line="234" w:lineRule="atLeast"/>
              <w:rPr>
                <w:rFonts w:eastAsia="Times New Roman"/>
                <w:sz w:val="24"/>
                <w:szCs w:val="24"/>
              </w:rPr>
            </w:pPr>
          </w:p>
        </w:tc>
      </w:tr>
      <w:tr w:rsidR="00931939" w:rsidRPr="00931939" w14:paraId="37AA0108" w14:textId="77777777" w:rsidTr="006B52E9">
        <w:tc>
          <w:tcPr>
            <w:tcW w:w="3640" w:type="dxa"/>
          </w:tcPr>
          <w:p w14:paraId="1116C1E7" w14:textId="51D33220" w:rsidR="00491ED7" w:rsidRPr="00547862" w:rsidRDefault="004A272F" w:rsidP="00491ED7">
            <w:pPr>
              <w:spacing w:before="120" w:after="120" w:line="234" w:lineRule="atLeast"/>
              <w:rPr>
                <w:rFonts w:eastAsia="Times New Roman"/>
                <w:sz w:val="24"/>
                <w:szCs w:val="24"/>
              </w:rPr>
            </w:pPr>
            <w:r w:rsidRPr="00547862">
              <w:rPr>
                <w:rFonts w:eastAsia="Times New Roman"/>
                <w:sz w:val="24"/>
                <w:szCs w:val="24"/>
              </w:rPr>
              <w:t>Điều 6 đến Điều 10 về phát triển điện gió ngoài khơi</w:t>
            </w:r>
          </w:p>
        </w:tc>
        <w:tc>
          <w:tcPr>
            <w:tcW w:w="3640" w:type="dxa"/>
          </w:tcPr>
          <w:p w14:paraId="1BD61204" w14:textId="3DC54998" w:rsidR="00F10232" w:rsidRPr="00547862" w:rsidRDefault="00F10232" w:rsidP="00F10232">
            <w:pPr>
              <w:spacing w:before="120" w:after="120" w:line="234" w:lineRule="atLeast"/>
              <w:jc w:val="both"/>
              <w:rPr>
                <w:sz w:val="24"/>
                <w:szCs w:val="24"/>
              </w:rPr>
            </w:pPr>
            <w:r w:rsidRPr="00547862">
              <w:rPr>
                <w:sz w:val="24"/>
                <w:szCs w:val="24"/>
              </w:rPr>
              <w:t>Công ước khung của Liên hợp quốc về biến đổi khí hậu (UNFCCC).</w:t>
            </w:r>
          </w:p>
          <w:p w14:paraId="7E7DF160" w14:textId="5BE05F95" w:rsidR="00F10232" w:rsidRPr="00547862" w:rsidRDefault="00F10232" w:rsidP="00F10232">
            <w:pPr>
              <w:spacing w:before="120" w:after="120" w:line="234" w:lineRule="atLeast"/>
              <w:jc w:val="both"/>
              <w:rPr>
                <w:sz w:val="24"/>
                <w:szCs w:val="24"/>
              </w:rPr>
            </w:pPr>
            <w:r w:rsidRPr="00547862">
              <w:rPr>
                <w:sz w:val="24"/>
                <w:szCs w:val="24"/>
              </w:rPr>
              <w:t>Nghị định thư Kyoto (1997) thuộc UNFCCC.</w:t>
            </w:r>
          </w:p>
          <w:p w14:paraId="31196A80" w14:textId="59AD0EFF" w:rsidR="00491ED7" w:rsidRPr="00547862" w:rsidRDefault="00F10232" w:rsidP="00F10232">
            <w:pPr>
              <w:spacing w:before="120" w:after="120" w:line="234" w:lineRule="atLeast"/>
              <w:jc w:val="both"/>
              <w:rPr>
                <w:rFonts w:eastAsia="Times New Roman"/>
                <w:sz w:val="24"/>
                <w:szCs w:val="24"/>
              </w:rPr>
            </w:pPr>
            <w:r w:rsidRPr="00547862">
              <w:rPr>
                <w:sz w:val="24"/>
                <w:szCs w:val="24"/>
              </w:rPr>
              <w:t>Thỏa thuận Paris về biến đổi khí hậu (2015).</w:t>
            </w:r>
          </w:p>
        </w:tc>
        <w:tc>
          <w:tcPr>
            <w:tcW w:w="3641" w:type="dxa"/>
          </w:tcPr>
          <w:p w14:paraId="37177117" w14:textId="33219B60" w:rsidR="00491ED7" w:rsidRPr="00547862" w:rsidRDefault="00F10232" w:rsidP="00491ED7">
            <w:pPr>
              <w:spacing w:before="120" w:after="120" w:line="234" w:lineRule="atLeast"/>
              <w:rPr>
                <w:rFonts w:eastAsia="Times New Roman"/>
                <w:sz w:val="24"/>
                <w:szCs w:val="24"/>
              </w:rPr>
            </w:pPr>
            <w:r w:rsidRPr="00547862">
              <w:rPr>
                <w:sz w:val="24"/>
                <w:szCs w:val="24"/>
              </w:rPr>
              <w:t>Nội dung dự thảo không trái và không mâu thuẫn với các điều ước quốc tế nêu trên.</w:t>
            </w:r>
          </w:p>
        </w:tc>
        <w:tc>
          <w:tcPr>
            <w:tcW w:w="3641" w:type="dxa"/>
          </w:tcPr>
          <w:p w14:paraId="195A48DD" w14:textId="77777777" w:rsidR="00491ED7" w:rsidRPr="00547862" w:rsidRDefault="00491ED7" w:rsidP="00491ED7">
            <w:pPr>
              <w:spacing w:before="120" w:after="120" w:line="234" w:lineRule="atLeast"/>
              <w:rPr>
                <w:rFonts w:eastAsia="Times New Roman"/>
                <w:sz w:val="24"/>
                <w:szCs w:val="24"/>
              </w:rPr>
            </w:pPr>
          </w:p>
        </w:tc>
      </w:tr>
      <w:tr w:rsidR="00931939" w:rsidRPr="00931939" w14:paraId="6D6F9C66" w14:textId="77777777" w:rsidTr="006B52E9">
        <w:tc>
          <w:tcPr>
            <w:tcW w:w="3640" w:type="dxa"/>
          </w:tcPr>
          <w:p w14:paraId="0FF652F8" w14:textId="77777777" w:rsidR="00491ED7" w:rsidRPr="00931939" w:rsidRDefault="00491ED7" w:rsidP="00491ED7">
            <w:pPr>
              <w:spacing w:before="120" w:after="120" w:line="234" w:lineRule="atLeast"/>
              <w:rPr>
                <w:rFonts w:eastAsia="Times New Roman"/>
                <w:sz w:val="26"/>
                <w:szCs w:val="26"/>
              </w:rPr>
            </w:pPr>
          </w:p>
        </w:tc>
        <w:tc>
          <w:tcPr>
            <w:tcW w:w="3640" w:type="dxa"/>
          </w:tcPr>
          <w:p w14:paraId="77D9BD5F" w14:textId="77777777" w:rsidR="00491ED7" w:rsidRPr="00931939" w:rsidRDefault="00491ED7" w:rsidP="00491ED7">
            <w:pPr>
              <w:spacing w:before="120" w:after="120" w:line="234" w:lineRule="atLeast"/>
              <w:rPr>
                <w:rFonts w:eastAsia="Times New Roman"/>
                <w:sz w:val="26"/>
                <w:szCs w:val="26"/>
              </w:rPr>
            </w:pPr>
          </w:p>
        </w:tc>
        <w:tc>
          <w:tcPr>
            <w:tcW w:w="3641" w:type="dxa"/>
          </w:tcPr>
          <w:p w14:paraId="7742D813" w14:textId="77777777" w:rsidR="00491ED7" w:rsidRPr="00931939" w:rsidRDefault="00491ED7" w:rsidP="00491ED7">
            <w:pPr>
              <w:spacing w:before="120" w:after="120" w:line="234" w:lineRule="atLeast"/>
              <w:rPr>
                <w:rFonts w:eastAsia="Times New Roman"/>
                <w:sz w:val="26"/>
                <w:szCs w:val="26"/>
              </w:rPr>
            </w:pPr>
          </w:p>
        </w:tc>
        <w:tc>
          <w:tcPr>
            <w:tcW w:w="3641" w:type="dxa"/>
          </w:tcPr>
          <w:p w14:paraId="5A6846C3" w14:textId="77777777" w:rsidR="00491ED7" w:rsidRPr="00931939" w:rsidRDefault="00491ED7" w:rsidP="00491ED7">
            <w:pPr>
              <w:spacing w:before="120" w:after="120" w:line="234" w:lineRule="atLeast"/>
              <w:rPr>
                <w:rFonts w:eastAsia="Times New Roman"/>
                <w:sz w:val="26"/>
                <w:szCs w:val="26"/>
              </w:rPr>
            </w:pPr>
          </w:p>
        </w:tc>
      </w:tr>
    </w:tbl>
    <w:p w14:paraId="7E6914A3" w14:textId="77777777" w:rsidR="00F9521C" w:rsidRPr="00931939" w:rsidRDefault="00F9521C">
      <w:pPr>
        <w:rPr>
          <w:rFonts w:cs="Times New Roman"/>
          <w:lang w:val="vi-VN"/>
        </w:rPr>
        <w:sectPr w:rsidR="00F9521C" w:rsidRPr="00931939" w:rsidSect="00D7064B">
          <w:pgSz w:w="16840" w:h="11907" w:orient="landscape"/>
          <w:pgMar w:top="1134" w:right="1134" w:bottom="1134" w:left="1134" w:header="567" w:footer="567" w:gutter="0"/>
          <w:pgNumType w:start="1"/>
          <w:cols w:space="720"/>
          <w:titlePg/>
          <w:docGrid w:linePitch="381"/>
        </w:sectPr>
      </w:pPr>
    </w:p>
    <w:p w14:paraId="2049B218" w14:textId="77777777" w:rsidR="00F9521C" w:rsidRPr="00931939" w:rsidRDefault="001860EB">
      <w:pPr>
        <w:spacing w:after="0"/>
        <w:jc w:val="center"/>
        <w:rPr>
          <w:rFonts w:cs="Times New Roman"/>
          <w:b/>
        </w:rPr>
      </w:pPr>
      <w:r w:rsidRPr="00931939">
        <w:rPr>
          <w:rFonts w:cs="Times New Roman"/>
          <w:b/>
        </w:rPr>
        <w:lastRenderedPageBreak/>
        <w:t>Phụ lục II</w:t>
      </w:r>
    </w:p>
    <w:p w14:paraId="46420661" w14:textId="77777777" w:rsidR="00F9521C" w:rsidRPr="00931939" w:rsidRDefault="001860EB">
      <w:pPr>
        <w:spacing w:after="0"/>
        <w:jc w:val="center"/>
        <w:rPr>
          <w:rFonts w:cs="Times New Roman"/>
          <w:b/>
        </w:rPr>
      </w:pPr>
      <w:r w:rsidRPr="00931939">
        <w:rPr>
          <w:rFonts w:cs="Times New Roman"/>
          <w:b/>
        </w:rPr>
        <w:t>DANH MỤC VĂN BẢN QUY PHẠM PHÁP LUẬT ĐƯỢC RÀ SOÁT</w:t>
      </w:r>
    </w:p>
    <w:p w14:paraId="6DFB91E6" w14:textId="751F3123" w:rsidR="00F9521C" w:rsidRPr="00931939" w:rsidRDefault="001860EB">
      <w:pPr>
        <w:spacing w:after="0"/>
        <w:jc w:val="center"/>
        <w:rPr>
          <w:rFonts w:cs="Times New Roman"/>
          <w:i/>
        </w:rPr>
      </w:pPr>
      <w:r w:rsidRPr="00931939">
        <w:rPr>
          <w:rFonts w:cs="Times New Roman"/>
          <w:i/>
        </w:rPr>
        <w:t xml:space="preserve">(Ban hành kèm theo Báo cáo số </w:t>
      </w:r>
      <w:r w:rsidR="00902258" w:rsidRPr="00931939">
        <w:rPr>
          <w:rFonts w:cs="Times New Roman"/>
          <w:i/>
        </w:rPr>
        <w:t xml:space="preserve">          </w:t>
      </w:r>
      <w:r w:rsidRPr="00931939">
        <w:rPr>
          <w:rFonts w:cs="Times New Roman"/>
          <w:i/>
        </w:rPr>
        <w:t xml:space="preserve">/BC-ĐL ngày </w:t>
      </w:r>
      <w:r w:rsidR="00902258" w:rsidRPr="00931939">
        <w:rPr>
          <w:rFonts w:cs="Times New Roman"/>
          <w:i/>
        </w:rPr>
        <w:t xml:space="preserve">    </w:t>
      </w:r>
      <w:r w:rsidRPr="00931939">
        <w:rPr>
          <w:rFonts w:cs="Times New Roman"/>
          <w:i/>
        </w:rPr>
        <w:t xml:space="preserve"> tháng </w:t>
      </w:r>
      <w:r w:rsidR="007754D0">
        <w:rPr>
          <w:rFonts w:cs="Times New Roman"/>
          <w:i/>
        </w:rPr>
        <w:t xml:space="preserve">   </w:t>
      </w:r>
      <w:r w:rsidRPr="00931939">
        <w:rPr>
          <w:rFonts w:cs="Times New Roman"/>
          <w:i/>
        </w:rPr>
        <w:t xml:space="preserve"> năm 202</w:t>
      </w:r>
      <w:r w:rsidR="007754D0">
        <w:rPr>
          <w:rFonts w:cs="Times New Roman"/>
          <w:i/>
        </w:rPr>
        <w:t>6</w:t>
      </w:r>
      <w:r w:rsidRPr="00931939">
        <w:rPr>
          <w:rFonts w:cs="Times New Roman"/>
          <w:i/>
        </w:rPr>
        <w:t xml:space="preserve"> của Bộ Công Thương)</w:t>
      </w:r>
    </w:p>
    <w:p w14:paraId="67191C83" w14:textId="77777777" w:rsidR="00F9521C" w:rsidRPr="00931939" w:rsidRDefault="001860EB" w:rsidP="004A1BF2">
      <w:pPr>
        <w:pStyle w:val="ListParagraph"/>
        <w:numPr>
          <w:ilvl w:val="1"/>
          <w:numId w:val="11"/>
        </w:numPr>
        <w:tabs>
          <w:tab w:val="left" w:pos="851"/>
        </w:tabs>
        <w:spacing w:before="60" w:after="60" w:line="257" w:lineRule="auto"/>
        <w:ind w:left="0" w:firstLine="567"/>
        <w:contextualSpacing w:val="0"/>
        <w:jc w:val="both"/>
        <w:rPr>
          <w:rFonts w:cs="Times New Roman"/>
          <w:szCs w:val="28"/>
        </w:rPr>
      </w:pPr>
      <w:bookmarkStart w:id="5" w:name="_Hlk211186745"/>
      <w:r w:rsidRPr="00931939">
        <w:rPr>
          <w:rFonts w:cs="Times New Roman"/>
          <w:szCs w:val="28"/>
          <w:lang w:val="vi-VN"/>
        </w:rPr>
        <w:t xml:space="preserve">Hiến pháp </w:t>
      </w:r>
      <w:r w:rsidRPr="00931939">
        <w:rPr>
          <w:rFonts w:cs="Times New Roman"/>
          <w:szCs w:val="28"/>
        </w:rPr>
        <w:t>năm 2013.</w:t>
      </w:r>
    </w:p>
    <w:p w14:paraId="4967C673" w14:textId="77777777" w:rsidR="00F9521C" w:rsidRPr="00931939" w:rsidRDefault="001860EB" w:rsidP="004A1BF2">
      <w:pPr>
        <w:pStyle w:val="ListParagraph"/>
        <w:numPr>
          <w:ilvl w:val="1"/>
          <w:numId w:val="11"/>
        </w:numPr>
        <w:tabs>
          <w:tab w:val="left" w:pos="851"/>
        </w:tabs>
        <w:spacing w:before="60" w:after="60" w:line="257" w:lineRule="auto"/>
        <w:ind w:left="0" w:firstLine="567"/>
        <w:contextualSpacing w:val="0"/>
        <w:jc w:val="both"/>
        <w:rPr>
          <w:rFonts w:cs="Times New Roman"/>
          <w:szCs w:val="28"/>
          <w:lang w:val="vi-VN"/>
        </w:rPr>
      </w:pPr>
      <w:r w:rsidRPr="00931939">
        <w:rPr>
          <w:rFonts w:cs="Times New Roman"/>
          <w:szCs w:val="28"/>
          <w:lang w:val="vi-VN"/>
        </w:rPr>
        <w:t>Bộ luật, Luật:</w:t>
      </w:r>
    </w:p>
    <w:p w14:paraId="5B77EF0C" w14:textId="67F226C4" w:rsidR="00014B4D" w:rsidRPr="00931939" w:rsidRDefault="00014B4D" w:rsidP="004A1BF2">
      <w:pPr>
        <w:pStyle w:val="ListParagraph"/>
        <w:tabs>
          <w:tab w:val="left" w:pos="851"/>
        </w:tabs>
        <w:spacing w:before="60" w:after="60" w:line="257" w:lineRule="auto"/>
        <w:ind w:left="567"/>
        <w:contextualSpacing w:val="0"/>
        <w:jc w:val="both"/>
        <w:rPr>
          <w:rFonts w:cs="Times New Roman"/>
          <w:szCs w:val="28"/>
          <w:lang w:val="vi-VN"/>
        </w:rPr>
      </w:pPr>
      <w:r w:rsidRPr="00931939">
        <w:rPr>
          <w:rFonts w:cs="Times New Roman"/>
          <w:szCs w:val="28"/>
        </w:rPr>
        <w:t xml:space="preserve">- Luật Điện lực </w:t>
      </w:r>
      <w:r w:rsidR="00326CD8" w:rsidRPr="00931939">
        <w:rPr>
          <w:rFonts w:cs="Times New Roman"/>
          <w:szCs w:val="28"/>
        </w:rPr>
        <w:t>số 61/2024/QH15</w:t>
      </w:r>
      <w:r w:rsidRPr="00931939">
        <w:rPr>
          <w:rFonts w:cs="Times New Roman"/>
          <w:szCs w:val="28"/>
        </w:rPr>
        <w:t>;</w:t>
      </w:r>
    </w:p>
    <w:p w14:paraId="4EB402B6" w14:textId="291EFF42" w:rsidR="00F76233" w:rsidRPr="00931939" w:rsidRDefault="00F76233"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xml:space="preserve">- Luật Đầu tư số </w:t>
      </w:r>
      <w:r w:rsidR="00FC1FF5" w:rsidRPr="00931939">
        <w:rPr>
          <w:rFonts w:cs="Times New Roman"/>
          <w:szCs w:val="28"/>
        </w:rPr>
        <w:t>143/2025/QH15</w:t>
      </w:r>
      <w:r w:rsidRPr="00931939">
        <w:rPr>
          <w:rFonts w:cs="Times New Roman"/>
          <w:szCs w:val="28"/>
          <w:lang w:val="vi-VN"/>
        </w:rPr>
        <w:t xml:space="preserve">; </w:t>
      </w:r>
    </w:p>
    <w:p w14:paraId="3D58A044" w14:textId="59432BD3" w:rsidR="00F76233" w:rsidRPr="00931939" w:rsidRDefault="00F76233"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xml:space="preserve">- Luật Quy hoạch </w:t>
      </w:r>
      <w:r w:rsidR="00326CD8" w:rsidRPr="00931939">
        <w:rPr>
          <w:rFonts w:cs="Times New Roman"/>
          <w:szCs w:val="28"/>
        </w:rPr>
        <w:t>112/2025/QH15</w:t>
      </w:r>
      <w:r w:rsidR="009639D4" w:rsidRPr="00931939">
        <w:rPr>
          <w:rFonts w:cs="Times New Roman"/>
          <w:szCs w:val="28"/>
        </w:rPr>
        <w:t>;</w:t>
      </w:r>
    </w:p>
    <w:p w14:paraId="72B05E66" w14:textId="5C6D7A1A" w:rsidR="00F76233" w:rsidRPr="00931939" w:rsidRDefault="00F76233"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Luật</w:t>
      </w:r>
      <w:r w:rsidR="00DD34D5" w:rsidRPr="00931939">
        <w:rPr>
          <w:rFonts w:cs="Times New Roman"/>
          <w:szCs w:val="28"/>
          <w:lang w:val="vi-VN"/>
        </w:rPr>
        <w:t xml:space="preserve"> </w:t>
      </w:r>
      <w:r w:rsidR="002A6A27" w:rsidRPr="00931939">
        <w:rPr>
          <w:rFonts w:cs="Times New Roman"/>
          <w:szCs w:val="28"/>
        </w:rPr>
        <w:t>Xây dựng số số 135/2025/QH15</w:t>
      </w:r>
      <w:r w:rsidR="00F62EA5" w:rsidRPr="00931939">
        <w:rPr>
          <w:rFonts w:cs="Times New Roman"/>
          <w:szCs w:val="28"/>
        </w:rPr>
        <w:t>;</w:t>
      </w:r>
    </w:p>
    <w:p w14:paraId="35B799CD" w14:textId="77777777" w:rsidR="00EE4BEC" w:rsidRPr="00931939" w:rsidRDefault="00EE4BEC"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 Luật Đất đai;</w:t>
      </w:r>
    </w:p>
    <w:p w14:paraId="084BA0DE" w14:textId="77777777" w:rsidR="00A027AC" w:rsidRPr="00931939" w:rsidRDefault="00A027AC"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Luật Dầu khí;</w:t>
      </w:r>
    </w:p>
    <w:p w14:paraId="504FAC3E" w14:textId="4CFA8150" w:rsidR="00EE4BEC" w:rsidRPr="00931939" w:rsidRDefault="005F565F"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 Luật Biển Việt Nam số 18/2012/QH13;</w:t>
      </w:r>
    </w:p>
    <w:p w14:paraId="413FC835" w14:textId="55E28ADF" w:rsidR="0050109F" w:rsidRPr="00931939" w:rsidRDefault="0050109F"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 Luật Tài nguyên, môi trường biển và hải đảo số 82/2015/QH13</w:t>
      </w:r>
      <w:r w:rsidR="001B76EB" w:rsidRPr="00931939">
        <w:rPr>
          <w:rFonts w:cs="Times New Roman"/>
          <w:szCs w:val="28"/>
        </w:rPr>
        <w:t>;</w:t>
      </w:r>
    </w:p>
    <w:p w14:paraId="09C46CDE" w14:textId="77777777" w:rsidR="00014B4D" w:rsidRPr="00931939" w:rsidRDefault="00014B4D"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3. Nghị định, Thông tư</w:t>
      </w:r>
    </w:p>
    <w:p w14:paraId="4F914415" w14:textId="7134E16A" w:rsidR="00014B4D" w:rsidRPr="00931939" w:rsidRDefault="00014B4D"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Nghị định 56/2025/NĐ-CP ngày 03/3/2025 của Ch</w:t>
      </w:r>
      <w:r w:rsidRPr="00931939">
        <w:rPr>
          <w:rFonts w:cs="Times New Roman" w:hint="eastAsia"/>
          <w:szCs w:val="28"/>
          <w:lang w:val="vi-VN"/>
        </w:rPr>
        <w:t>í</w:t>
      </w:r>
      <w:r w:rsidRPr="00931939">
        <w:rPr>
          <w:rFonts w:cs="Times New Roman"/>
          <w:szCs w:val="28"/>
          <w:lang w:val="vi-VN"/>
        </w:rPr>
        <w:t xml:space="preserve">nh phủ quy </w:t>
      </w:r>
      <w:r w:rsidRPr="00931939">
        <w:rPr>
          <w:rFonts w:cs="Times New Roman" w:hint="eastAsia"/>
          <w:szCs w:val="28"/>
          <w:lang w:val="vi-VN"/>
        </w:rPr>
        <w:t>đ</w:t>
      </w:r>
      <w:r w:rsidRPr="00931939">
        <w:rPr>
          <w:rFonts w:cs="Times New Roman"/>
          <w:szCs w:val="28"/>
          <w:lang w:val="vi-VN"/>
        </w:rPr>
        <w:t xml:space="preserve">ịnh chi tiết một số </w:t>
      </w:r>
      <w:r w:rsidRPr="00931939">
        <w:rPr>
          <w:rFonts w:cs="Times New Roman" w:hint="eastAsia"/>
          <w:szCs w:val="28"/>
          <w:lang w:val="vi-VN"/>
        </w:rPr>
        <w:t>đ</w:t>
      </w:r>
      <w:r w:rsidRPr="00931939">
        <w:rPr>
          <w:rFonts w:cs="Times New Roman"/>
          <w:szCs w:val="28"/>
          <w:lang w:val="vi-VN"/>
        </w:rPr>
        <w:t xml:space="preserve">iều của Luật </w:t>
      </w:r>
      <w:r w:rsidRPr="00931939">
        <w:rPr>
          <w:rFonts w:cs="Times New Roman" w:hint="eastAsia"/>
          <w:szCs w:val="28"/>
          <w:lang w:val="vi-VN"/>
        </w:rPr>
        <w:t>Đ</w:t>
      </w:r>
      <w:r w:rsidRPr="00931939">
        <w:rPr>
          <w:rFonts w:cs="Times New Roman"/>
          <w:szCs w:val="28"/>
          <w:lang w:val="vi-VN"/>
        </w:rPr>
        <w:t>iện lực về quy hoạch ph</w:t>
      </w:r>
      <w:r w:rsidRPr="00931939">
        <w:rPr>
          <w:rFonts w:cs="Times New Roman" w:hint="eastAsia"/>
          <w:szCs w:val="28"/>
          <w:lang w:val="vi-VN"/>
        </w:rPr>
        <w:t>á</w:t>
      </w:r>
      <w:r w:rsidRPr="00931939">
        <w:rPr>
          <w:rFonts w:cs="Times New Roman"/>
          <w:szCs w:val="28"/>
          <w:lang w:val="vi-VN"/>
        </w:rPr>
        <w:t xml:space="preserve">t triển </w:t>
      </w:r>
      <w:r w:rsidRPr="00931939">
        <w:rPr>
          <w:rFonts w:cs="Times New Roman" w:hint="eastAsia"/>
          <w:szCs w:val="28"/>
          <w:lang w:val="vi-VN"/>
        </w:rPr>
        <w:t>đ</w:t>
      </w:r>
      <w:r w:rsidRPr="00931939">
        <w:rPr>
          <w:rFonts w:cs="Times New Roman"/>
          <w:szCs w:val="28"/>
          <w:lang w:val="vi-VN"/>
        </w:rPr>
        <w:t>iện lực, ph</w:t>
      </w:r>
      <w:r w:rsidRPr="00931939">
        <w:rPr>
          <w:rFonts w:cs="Times New Roman" w:hint="eastAsia"/>
          <w:szCs w:val="28"/>
          <w:lang w:val="vi-VN"/>
        </w:rPr>
        <w:t>ươ</w:t>
      </w:r>
      <w:r w:rsidRPr="00931939">
        <w:rPr>
          <w:rFonts w:cs="Times New Roman"/>
          <w:szCs w:val="28"/>
          <w:lang w:val="vi-VN"/>
        </w:rPr>
        <w:t xml:space="preserve">ng </w:t>
      </w:r>
      <w:r w:rsidRPr="00931939">
        <w:rPr>
          <w:rFonts w:cs="Times New Roman" w:hint="eastAsia"/>
          <w:szCs w:val="28"/>
          <w:lang w:val="vi-VN"/>
        </w:rPr>
        <w:t>á</w:t>
      </w:r>
      <w:r w:rsidRPr="00931939">
        <w:rPr>
          <w:rFonts w:cs="Times New Roman"/>
          <w:szCs w:val="28"/>
          <w:lang w:val="vi-VN"/>
        </w:rPr>
        <w:t>n ph</w:t>
      </w:r>
      <w:r w:rsidRPr="00931939">
        <w:rPr>
          <w:rFonts w:cs="Times New Roman" w:hint="eastAsia"/>
          <w:szCs w:val="28"/>
          <w:lang w:val="vi-VN"/>
        </w:rPr>
        <w:t>á</w:t>
      </w:r>
      <w:r w:rsidRPr="00931939">
        <w:rPr>
          <w:rFonts w:cs="Times New Roman"/>
          <w:szCs w:val="28"/>
          <w:lang w:val="vi-VN"/>
        </w:rPr>
        <w:t>t triển mạng l</w:t>
      </w:r>
      <w:r w:rsidRPr="00931939">
        <w:rPr>
          <w:rFonts w:cs="Times New Roman" w:hint="eastAsia"/>
          <w:szCs w:val="28"/>
          <w:lang w:val="vi-VN"/>
        </w:rPr>
        <w:t>ư</w:t>
      </w:r>
      <w:r w:rsidRPr="00931939">
        <w:rPr>
          <w:rFonts w:cs="Times New Roman"/>
          <w:szCs w:val="28"/>
          <w:lang w:val="vi-VN"/>
        </w:rPr>
        <w:t xml:space="preserve">ới cấp </w:t>
      </w:r>
      <w:r w:rsidRPr="00931939">
        <w:rPr>
          <w:rFonts w:cs="Times New Roman" w:hint="eastAsia"/>
          <w:szCs w:val="28"/>
          <w:lang w:val="vi-VN"/>
        </w:rPr>
        <w:t>đ</w:t>
      </w:r>
      <w:r w:rsidRPr="00931939">
        <w:rPr>
          <w:rFonts w:cs="Times New Roman"/>
          <w:szCs w:val="28"/>
          <w:lang w:val="vi-VN"/>
        </w:rPr>
        <w:t xml:space="preserve">iện, </w:t>
      </w:r>
      <w:r w:rsidRPr="00931939">
        <w:rPr>
          <w:rFonts w:cs="Times New Roman" w:hint="eastAsia"/>
          <w:szCs w:val="28"/>
          <w:lang w:val="vi-VN"/>
        </w:rPr>
        <w:t>đ</w:t>
      </w:r>
      <w:r w:rsidRPr="00931939">
        <w:rPr>
          <w:rFonts w:cs="Times New Roman"/>
          <w:szCs w:val="28"/>
          <w:lang w:val="vi-VN"/>
        </w:rPr>
        <w:t>ầu t</w:t>
      </w:r>
      <w:r w:rsidRPr="00931939">
        <w:rPr>
          <w:rFonts w:cs="Times New Roman" w:hint="eastAsia"/>
          <w:szCs w:val="28"/>
          <w:lang w:val="vi-VN"/>
        </w:rPr>
        <w:t>ư</w:t>
      </w:r>
      <w:r w:rsidRPr="00931939">
        <w:rPr>
          <w:rFonts w:cs="Times New Roman"/>
          <w:szCs w:val="28"/>
          <w:lang w:val="vi-VN"/>
        </w:rPr>
        <w:t xml:space="preserve"> x</w:t>
      </w:r>
      <w:r w:rsidRPr="00931939">
        <w:rPr>
          <w:rFonts w:cs="Times New Roman" w:hint="eastAsia"/>
          <w:szCs w:val="28"/>
          <w:lang w:val="vi-VN"/>
        </w:rPr>
        <w:t>â</w:t>
      </w:r>
      <w:r w:rsidRPr="00931939">
        <w:rPr>
          <w:rFonts w:cs="Times New Roman"/>
          <w:szCs w:val="28"/>
          <w:lang w:val="vi-VN"/>
        </w:rPr>
        <w:t xml:space="preserve">y dựng dự </w:t>
      </w:r>
      <w:r w:rsidRPr="00931939">
        <w:rPr>
          <w:rFonts w:cs="Times New Roman" w:hint="eastAsia"/>
          <w:szCs w:val="28"/>
          <w:lang w:val="vi-VN"/>
        </w:rPr>
        <w:t>á</w:t>
      </w:r>
      <w:r w:rsidRPr="00931939">
        <w:rPr>
          <w:rFonts w:cs="Times New Roman"/>
          <w:szCs w:val="28"/>
          <w:lang w:val="vi-VN"/>
        </w:rPr>
        <w:t xml:space="preserve">n </w:t>
      </w:r>
      <w:r w:rsidRPr="00931939">
        <w:rPr>
          <w:rFonts w:cs="Times New Roman" w:hint="eastAsia"/>
          <w:szCs w:val="28"/>
          <w:lang w:val="vi-VN"/>
        </w:rPr>
        <w:t>đ</w:t>
      </w:r>
      <w:r w:rsidRPr="00931939">
        <w:rPr>
          <w:rFonts w:cs="Times New Roman"/>
          <w:szCs w:val="28"/>
          <w:lang w:val="vi-VN"/>
        </w:rPr>
        <w:t>iện lực v</w:t>
      </w:r>
      <w:r w:rsidRPr="00931939">
        <w:rPr>
          <w:rFonts w:cs="Times New Roman" w:hint="eastAsia"/>
          <w:szCs w:val="28"/>
          <w:lang w:val="vi-VN"/>
        </w:rPr>
        <w:t>à</w:t>
      </w:r>
      <w:r w:rsidRPr="00931939">
        <w:rPr>
          <w:rFonts w:cs="Times New Roman"/>
          <w:szCs w:val="28"/>
          <w:lang w:val="vi-VN"/>
        </w:rPr>
        <w:t xml:space="preserve"> </w:t>
      </w:r>
      <w:r w:rsidRPr="00931939">
        <w:rPr>
          <w:rFonts w:cs="Times New Roman" w:hint="eastAsia"/>
          <w:szCs w:val="28"/>
          <w:lang w:val="vi-VN"/>
        </w:rPr>
        <w:t>đ</w:t>
      </w:r>
      <w:r w:rsidRPr="00931939">
        <w:rPr>
          <w:rFonts w:cs="Times New Roman"/>
          <w:szCs w:val="28"/>
          <w:lang w:val="vi-VN"/>
        </w:rPr>
        <w:t>ấu thầu lựa chọn nh</w:t>
      </w:r>
      <w:r w:rsidRPr="00931939">
        <w:rPr>
          <w:rFonts w:cs="Times New Roman" w:hint="eastAsia"/>
          <w:szCs w:val="28"/>
          <w:lang w:val="vi-VN"/>
        </w:rPr>
        <w:t>à</w:t>
      </w:r>
      <w:r w:rsidRPr="00931939">
        <w:rPr>
          <w:rFonts w:cs="Times New Roman"/>
          <w:szCs w:val="28"/>
          <w:lang w:val="vi-VN"/>
        </w:rPr>
        <w:t xml:space="preserve"> </w:t>
      </w:r>
      <w:r w:rsidRPr="00931939">
        <w:rPr>
          <w:rFonts w:cs="Times New Roman" w:hint="eastAsia"/>
          <w:szCs w:val="28"/>
          <w:lang w:val="vi-VN"/>
        </w:rPr>
        <w:t>đ</w:t>
      </w:r>
      <w:r w:rsidRPr="00931939">
        <w:rPr>
          <w:rFonts w:cs="Times New Roman"/>
          <w:szCs w:val="28"/>
          <w:lang w:val="vi-VN"/>
        </w:rPr>
        <w:t>ầu t</w:t>
      </w:r>
      <w:r w:rsidRPr="00931939">
        <w:rPr>
          <w:rFonts w:cs="Times New Roman" w:hint="eastAsia"/>
          <w:szCs w:val="28"/>
          <w:lang w:val="vi-VN"/>
        </w:rPr>
        <w:t>ư</w:t>
      </w:r>
      <w:r w:rsidRPr="00931939">
        <w:rPr>
          <w:rFonts w:cs="Times New Roman"/>
          <w:szCs w:val="28"/>
          <w:lang w:val="vi-VN"/>
        </w:rPr>
        <w:t xml:space="preserve"> dự </w:t>
      </w:r>
      <w:r w:rsidRPr="00931939">
        <w:rPr>
          <w:rFonts w:cs="Times New Roman" w:hint="eastAsia"/>
          <w:szCs w:val="28"/>
          <w:lang w:val="vi-VN"/>
        </w:rPr>
        <w:t>á</w:t>
      </w:r>
      <w:r w:rsidRPr="00931939">
        <w:rPr>
          <w:rFonts w:cs="Times New Roman"/>
          <w:szCs w:val="28"/>
          <w:lang w:val="vi-VN"/>
        </w:rPr>
        <w:t xml:space="preserve">n kinh doanh </w:t>
      </w:r>
      <w:r w:rsidRPr="00931939">
        <w:rPr>
          <w:rFonts w:cs="Times New Roman" w:hint="eastAsia"/>
          <w:szCs w:val="28"/>
          <w:lang w:val="vi-VN"/>
        </w:rPr>
        <w:t>đ</w:t>
      </w:r>
      <w:r w:rsidRPr="00931939">
        <w:rPr>
          <w:rFonts w:cs="Times New Roman"/>
          <w:szCs w:val="28"/>
          <w:lang w:val="vi-VN"/>
        </w:rPr>
        <w:t>iện lực và Nghị định số 100/2025/NĐ-CP ngày 8/5/2025 sửa đổi Điều 15 Nghị định 56/2025/NĐ-CP</w:t>
      </w:r>
      <w:r w:rsidRPr="00931939">
        <w:rPr>
          <w:rFonts w:cs="Times New Roman"/>
          <w:szCs w:val="28"/>
        </w:rPr>
        <w:t xml:space="preserve">; </w:t>
      </w:r>
    </w:p>
    <w:p w14:paraId="019D179F" w14:textId="35E65B28" w:rsidR="000C0734" w:rsidRPr="00931939" w:rsidRDefault="000C0734"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 Nghị định số 58/2025/NĐ-CP ngày 03/3/</w:t>
      </w:r>
      <w:r w:rsidRPr="00931939">
        <w:rPr>
          <w:rFonts w:cs="Times New Roman"/>
          <w:szCs w:val="28"/>
          <w:lang w:val="vi-VN"/>
        </w:rPr>
        <w:t xml:space="preserve">2025 của Chính phủ </w:t>
      </w:r>
      <w:bookmarkStart w:id="6" w:name="loai_1_name"/>
      <w:r w:rsidRPr="00931939">
        <w:rPr>
          <w:rFonts w:cs="Times New Roman"/>
          <w:szCs w:val="28"/>
          <w:lang w:val="vi-VN"/>
        </w:rPr>
        <w:t xml:space="preserve">quy định chi tiết một số điều của </w:t>
      </w:r>
      <w:r w:rsidR="00AF64C8" w:rsidRPr="00931939">
        <w:rPr>
          <w:rFonts w:cs="Times New Roman"/>
          <w:szCs w:val="28"/>
        </w:rPr>
        <w:t>L</w:t>
      </w:r>
      <w:r w:rsidRPr="00931939">
        <w:rPr>
          <w:rFonts w:cs="Times New Roman"/>
          <w:szCs w:val="28"/>
          <w:lang w:val="vi-VN"/>
        </w:rPr>
        <w:t xml:space="preserve">uật </w:t>
      </w:r>
      <w:r w:rsidR="00AF64C8" w:rsidRPr="00931939">
        <w:rPr>
          <w:rFonts w:cs="Times New Roman"/>
          <w:szCs w:val="28"/>
        </w:rPr>
        <w:t>Đ</w:t>
      </w:r>
      <w:r w:rsidRPr="00931939">
        <w:rPr>
          <w:rFonts w:cs="Times New Roman"/>
          <w:szCs w:val="28"/>
          <w:lang w:val="vi-VN"/>
        </w:rPr>
        <w:t>iện lực về phát triển điện năng lượng tái tạo, điện năng lượng mới</w:t>
      </w:r>
      <w:bookmarkEnd w:id="6"/>
      <w:r w:rsidRPr="00931939">
        <w:rPr>
          <w:rFonts w:cs="Times New Roman"/>
          <w:szCs w:val="28"/>
        </w:rPr>
        <w:t>;</w:t>
      </w:r>
    </w:p>
    <w:p w14:paraId="6143CC05" w14:textId="011859A5" w:rsidR="004325C0" w:rsidRPr="00931939" w:rsidRDefault="004325C0"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lang w:val="vi-VN"/>
        </w:rPr>
        <w:t xml:space="preserve">- Nghị định số 31/2021/NĐ-CP ngày 26/3/2021 của Chính phủ quy định chi tiết và hướng dẫn thi hành một số điều của </w:t>
      </w:r>
      <w:r w:rsidR="003D77BD" w:rsidRPr="00931939">
        <w:rPr>
          <w:rFonts w:cs="Times New Roman"/>
          <w:szCs w:val="28"/>
        </w:rPr>
        <w:t>L</w:t>
      </w:r>
      <w:r w:rsidRPr="00931939">
        <w:rPr>
          <w:rFonts w:cs="Times New Roman"/>
          <w:szCs w:val="28"/>
          <w:lang w:val="vi-VN"/>
        </w:rPr>
        <w:t xml:space="preserve">uật </w:t>
      </w:r>
      <w:r w:rsidR="003D77BD" w:rsidRPr="00931939">
        <w:rPr>
          <w:rFonts w:cs="Times New Roman"/>
          <w:szCs w:val="28"/>
        </w:rPr>
        <w:t>Đ</w:t>
      </w:r>
      <w:r w:rsidRPr="00931939">
        <w:rPr>
          <w:rFonts w:cs="Times New Roman"/>
          <w:szCs w:val="28"/>
          <w:lang w:val="vi-VN"/>
        </w:rPr>
        <w:t>ầu tư</w:t>
      </w:r>
      <w:r w:rsidR="00E00E0D" w:rsidRPr="00931939">
        <w:rPr>
          <w:rFonts w:cs="Times New Roman"/>
          <w:szCs w:val="28"/>
        </w:rPr>
        <w:t>;</w:t>
      </w:r>
    </w:p>
    <w:p w14:paraId="22A234CF" w14:textId="316CBE9A" w:rsidR="000363F9" w:rsidRPr="00931939" w:rsidRDefault="000363F9"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 Nghị định số 45/2023/NĐ-CP ngày 01/7/2023 của Chính phủ quy định chi tiết một số điều của Luật Dầu khí</w:t>
      </w:r>
      <w:r w:rsidR="00911929" w:rsidRPr="00931939">
        <w:rPr>
          <w:rFonts w:cs="Times New Roman"/>
          <w:szCs w:val="28"/>
        </w:rPr>
        <w:t>;</w:t>
      </w:r>
    </w:p>
    <w:p w14:paraId="43D0A5BE" w14:textId="7AA9CE22" w:rsidR="000363F9" w:rsidRPr="00931939" w:rsidRDefault="00C75E9F" w:rsidP="00612498">
      <w:pPr>
        <w:tabs>
          <w:tab w:val="left" w:pos="851"/>
          <w:tab w:val="left" w:pos="1276"/>
        </w:tabs>
        <w:spacing w:before="60" w:after="60" w:line="257" w:lineRule="auto"/>
        <w:ind w:firstLine="567"/>
        <w:jc w:val="both"/>
        <w:rPr>
          <w:rFonts w:cs="Times New Roman"/>
          <w:szCs w:val="28"/>
        </w:rPr>
      </w:pPr>
      <w:r w:rsidRPr="00931939">
        <w:rPr>
          <w:rFonts w:cs="Times New Roman"/>
          <w:szCs w:val="28"/>
        </w:rPr>
        <w:t>- Nghị định số 11/2021/NĐ-CP ngày 10/02/2021 của Chính phủ quy định việc giao các khu vực biển nhất định cho tổ chức, cá nhân khai thác, sử dụng tài nguyên biển được sửa đổi, bổ sung bởi Nghị định số 65/2025/NĐ-CP</w:t>
      </w:r>
      <w:r w:rsidR="00612498" w:rsidRPr="00931939">
        <w:rPr>
          <w:rFonts w:cs="Times New Roman"/>
          <w:szCs w:val="28"/>
        </w:rPr>
        <w:t>.</w:t>
      </w:r>
    </w:p>
    <w:p w14:paraId="4BFB2D67" w14:textId="77D48394" w:rsidR="00706C52" w:rsidRPr="00931939" w:rsidRDefault="00706C52" w:rsidP="004A1BF2">
      <w:pPr>
        <w:tabs>
          <w:tab w:val="left" w:pos="851"/>
          <w:tab w:val="left" w:pos="1276"/>
        </w:tabs>
        <w:spacing w:before="60" w:after="60" w:line="257" w:lineRule="auto"/>
        <w:ind w:firstLine="567"/>
        <w:jc w:val="both"/>
        <w:rPr>
          <w:rFonts w:cs="Times New Roman"/>
          <w:szCs w:val="28"/>
        </w:rPr>
      </w:pPr>
      <w:r w:rsidRPr="00931939">
        <w:rPr>
          <w:rFonts w:cs="Times New Roman"/>
          <w:szCs w:val="28"/>
        </w:rPr>
        <w:t>4. Điều ước quốc tế đã được rà soát</w:t>
      </w:r>
    </w:p>
    <w:bookmarkEnd w:id="5"/>
    <w:p w14:paraId="1B626504" w14:textId="478E5F46" w:rsidR="0099736C" w:rsidRPr="00931939" w:rsidRDefault="001A7577" w:rsidP="004A1BF2">
      <w:pPr>
        <w:shd w:val="clear" w:color="auto" w:fill="FFFFFF"/>
        <w:spacing w:before="60" w:after="60" w:line="257" w:lineRule="auto"/>
        <w:ind w:firstLine="567"/>
        <w:jc w:val="both"/>
        <w:rPr>
          <w:szCs w:val="28"/>
        </w:rPr>
      </w:pPr>
      <w:r w:rsidRPr="00931939">
        <w:rPr>
          <w:szCs w:val="28"/>
          <w:shd w:val="clear" w:color="auto" w:fill="FFFFFF"/>
        </w:rPr>
        <w:t>-</w:t>
      </w:r>
      <w:r w:rsidR="0099736C" w:rsidRPr="00931939">
        <w:rPr>
          <w:szCs w:val="28"/>
          <w:shd w:val="clear" w:color="auto" w:fill="FFFFFF"/>
        </w:rPr>
        <w:t xml:space="preserve"> Hiệp định Đối tác toàn diện và tiến bộ xuyên Thái Bình Dương</w:t>
      </w:r>
      <w:r w:rsidR="00672372" w:rsidRPr="00931939">
        <w:rPr>
          <w:szCs w:val="28"/>
          <w:shd w:val="clear" w:color="auto" w:fill="FFFFFF"/>
        </w:rPr>
        <w:t>.</w:t>
      </w:r>
    </w:p>
    <w:p w14:paraId="2B41EE5E" w14:textId="15A553F4" w:rsidR="0099736C" w:rsidRPr="00931939" w:rsidRDefault="001A7577" w:rsidP="004A1BF2">
      <w:pPr>
        <w:tabs>
          <w:tab w:val="left" w:pos="851"/>
          <w:tab w:val="left" w:pos="1276"/>
        </w:tabs>
        <w:spacing w:before="60" w:after="60" w:line="257" w:lineRule="auto"/>
        <w:ind w:firstLine="567"/>
        <w:jc w:val="both"/>
        <w:rPr>
          <w:szCs w:val="28"/>
          <w:shd w:val="clear" w:color="auto" w:fill="FFFFFF"/>
        </w:rPr>
      </w:pPr>
      <w:r w:rsidRPr="00931939">
        <w:rPr>
          <w:szCs w:val="28"/>
          <w:shd w:val="clear" w:color="auto" w:fill="FFFFFF"/>
        </w:rPr>
        <w:t>-</w:t>
      </w:r>
      <w:r w:rsidR="0099736C" w:rsidRPr="00931939">
        <w:rPr>
          <w:szCs w:val="28"/>
          <w:shd w:val="clear" w:color="auto" w:fill="FFFFFF"/>
        </w:rPr>
        <w:t xml:space="preserve"> Hiệp định Trợ cấp và các biện pháp đối kháng (SCM) trong WTO</w:t>
      </w:r>
      <w:r w:rsidR="00672372" w:rsidRPr="00931939">
        <w:rPr>
          <w:szCs w:val="28"/>
          <w:shd w:val="clear" w:color="auto" w:fill="FFFFFF"/>
        </w:rPr>
        <w:t>.</w:t>
      </w:r>
    </w:p>
    <w:p w14:paraId="2FFF83AE" w14:textId="4345B7EE" w:rsidR="001A7577" w:rsidRPr="00931939" w:rsidRDefault="001A7577" w:rsidP="001A7577">
      <w:pPr>
        <w:tabs>
          <w:tab w:val="left" w:pos="851"/>
          <w:tab w:val="left" w:pos="1276"/>
        </w:tabs>
        <w:spacing w:before="60" w:after="60" w:line="257" w:lineRule="auto"/>
        <w:ind w:firstLine="567"/>
        <w:jc w:val="both"/>
        <w:rPr>
          <w:rFonts w:cs="Times New Roman"/>
          <w:szCs w:val="28"/>
        </w:rPr>
      </w:pPr>
      <w:r w:rsidRPr="00931939">
        <w:rPr>
          <w:rFonts w:cs="Times New Roman"/>
          <w:szCs w:val="28"/>
        </w:rPr>
        <w:t>- Công ước khung của Liên hợp quốc về biến đổi khí hậu (UNFCCC).</w:t>
      </w:r>
    </w:p>
    <w:p w14:paraId="786B7BCE" w14:textId="03E2AABB" w:rsidR="001A7577" w:rsidRPr="00931939" w:rsidRDefault="001A7577" w:rsidP="001A7577">
      <w:pPr>
        <w:tabs>
          <w:tab w:val="left" w:pos="851"/>
          <w:tab w:val="left" w:pos="1276"/>
        </w:tabs>
        <w:spacing w:before="60" w:after="60" w:line="257" w:lineRule="auto"/>
        <w:ind w:firstLine="567"/>
        <w:jc w:val="both"/>
        <w:rPr>
          <w:rFonts w:cs="Times New Roman"/>
          <w:szCs w:val="28"/>
        </w:rPr>
      </w:pPr>
      <w:r w:rsidRPr="00931939">
        <w:rPr>
          <w:rFonts w:cs="Times New Roman"/>
          <w:szCs w:val="28"/>
        </w:rPr>
        <w:t>- Nghị định thư Kyoto (1997) thuộc UNFCCC.</w:t>
      </w:r>
    </w:p>
    <w:p w14:paraId="733C0D0D" w14:textId="41669F55" w:rsidR="001A7577" w:rsidRPr="00931939" w:rsidRDefault="001A7577" w:rsidP="001A7577">
      <w:pPr>
        <w:tabs>
          <w:tab w:val="left" w:pos="851"/>
          <w:tab w:val="left" w:pos="1276"/>
        </w:tabs>
        <w:spacing w:before="60" w:after="60" w:line="257" w:lineRule="auto"/>
        <w:ind w:firstLine="567"/>
        <w:jc w:val="both"/>
        <w:rPr>
          <w:rFonts w:cs="Times New Roman"/>
          <w:szCs w:val="28"/>
        </w:rPr>
      </w:pPr>
      <w:r w:rsidRPr="00931939">
        <w:rPr>
          <w:rFonts w:cs="Times New Roman"/>
          <w:szCs w:val="28"/>
        </w:rPr>
        <w:t>- Thỏa thuận Paris về biến đổi khí hậu (2015).</w:t>
      </w:r>
    </w:p>
    <w:p w14:paraId="54A2EF55" w14:textId="77777777" w:rsidR="00014B4D" w:rsidRPr="00931939" w:rsidRDefault="00014B4D" w:rsidP="00DD34D5">
      <w:pPr>
        <w:tabs>
          <w:tab w:val="left" w:pos="851"/>
          <w:tab w:val="left" w:pos="1276"/>
        </w:tabs>
        <w:spacing w:before="120" w:after="0" w:line="252" w:lineRule="auto"/>
        <w:ind w:firstLine="567"/>
        <w:jc w:val="both"/>
        <w:rPr>
          <w:rFonts w:cs="Times New Roman"/>
          <w:szCs w:val="28"/>
        </w:rPr>
      </w:pPr>
    </w:p>
    <w:sectPr w:rsidR="00014B4D" w:rsidRPr="00931939">
      <w:pgSz w:w="11907" w:h="16840"/>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EF21" w14:textId="77777777" w:rsidR="00B27738" w:rsidRDefault="00B27738">
      <w:pPr>
        <w:spacing w:line="240" w:lineRule="auto"/>
      </w:pPr>
      <w:r>
        <w:separator/>
      </w:r>
    </w:p>
  </w:endnote>
  <w:endnote w:type="continuationSeparator" w:id="0">
    <w:p w14:paraId="6423B83B" w14:textId="77777777" w:rsidR="00B27738" w:rsidRDefault="00B27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4035" w14:textId="77777777" w:rsidR="00376A42" w:rsidRDefault="00376A42">
    <w:pPr>
      <w:pStyle w:val="Footer"/>
      <w:jc w:val="center"/>
      <w:rPr>
        <w:sz w:val="26"/>
        <w:szCs w:val="26"/>
      </w:rPr>
    </w:pPr>
  </w:p>
  <w:p w14:paraId="070E0ADF" w14:textId="77777777" w:rsidR="00376A42" w:rsidRDefault="00376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363AE" w14:textId="77777777" w:rsidR="00B27738" w:rsidRDefault="00B27738">
      <w:pPr>
        <w:spacing w:after="0"/>
      </w:pPr>
      <w:r>
        <w:separator/>
      </w:r>
    </w:p>
  </w:footnote>
  <w:footnote w:type="continuationSeparator" w:id="0">
    <w:p w14:paraId="63EE4FEF" w14:textId="77777777" w:rsidR="00B27738" w:rsidRDefault="00B27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361237"/>
    </w:sdtPr>
    <w:sdtEndPr/>
    <w:sdtContent>
      <w:p w14:paraId="44B41FBB" w14:textId="69895C84" w:rsidR="00376A42" w:rsidRDefault="00376A42">
        <w:pPr>
          <w:pStyle w:val="Header"/>
          <w:jc w:val="center"/>
        </w:pPr>
        <w:r>
          <w:fldChar w:fldCharType="begin"/>
        </w:r>
        <w:r>
          <w:instrText xml:space="preserve"> PAGE   \* MERGEFORMAT </w:instrText>
        </w:r>
        <w:r>
          <w:fldChar w:fldCharType="separate"/>
        </w:r>
        <w:r>
          <w:rPr>
            <w:noProof/>
          </w:rPr>
          <w:t>18</w:t>
        </w:r>
        <w:r>
          <w:fldChar w:fldCharType="end"/>
        </w:r>
      </w:p>
    </w:sdtContent>
  </w:sdt>
  <w:p w14:paraId="4D321D61" w14:textId="77777777" w:rsidR="00376A42" w:rsidRDefault="00376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2AD9" w14:textId="77777777" w:rsidR="00376A42" w:rsidRDefault="00376A4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DA368"/>
    <w:multiLevelType w:val="singleLevel"/>
    <w:tmpl w:val="FFEDA368"/>
    <w:lvl w:ilvl="0">
      <w:start w:val="1"/>
      <w:numFmt w:val="lowerLetter"/>
      <w:suff w:val="space"/>
      <w:lvlText w:val="%1)"/>
      <w:lvlJc w:val="left"/>
    </w:lvl>
  </w:abstractNum>
  <w:abstractNum w:abstractNumId="1" w15:restartNumberingAfterBreak="0">
    <w:nsid w:val="FFFD20CD"/>
    <w:multiLevelType w:val="singleLevel"/>
    <w:tmpl w:val="FFFD20CD"/>
    <w:lvl w:ilvl="0">
      <w:start w:val="1"/>
      <w:numFmt w:val="decimal"/>
      <w:suff w:val="space"/>
      <w:lvlText w:val="%1."/>
      <w:lvlJc w:val="left"/>
    </w:lvl>
  </w:abstractNum>
  <w:abstractNum w:abstractNumId="2" w15:restartNumberingAfterBreak="0">
    <w:nsid w:val="03312666"/>
    <w:multiLevelType w:val="multilevel"/>
    <w:tmpl w:val="0331266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354E3"/>
    <w:multiLevelType w:val="multilevel"/>
    <w:tmpl w:val="14A354E3"/>
    <w:lvl w:ilvl="0">
      <w:start w:val="3"/>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1E25226C"/>
    <w:multiLevelType w:val="multilevel"/>
    <w:tmpl w:val="1E25226C"/>
    <w:lvl w:ilvl="0">
      <w:start w:val="1"/>
      <w:numFmt w:val="decimal"/>
      <w:pStyle w:val="iu"/>
      <w:lvlText w:val="Điều %1."/>
      <w:lvlJc w:val="left"/>
      <w:pPr>
        <w:ind w:left="786" w:hanging="360"/>
      </w:pPr>
      <w:rPr>
        <w:rFonts w:hint="default"/>
        <w:b/>
        <w:bCs/>
        <w:i w:val="0"/>
        <w:i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C7C52D2"/>
    <w:multiLevelType w:val="multilevel"/>
    <w:tmpl w:val="2C7C52D2"/>
    <w:lvl w:ilvl="0">
      <w:start w:val="1"/>
      <w:numFmt w:val="decimal"/>
      <w:lvlText w:val="%1."/>
      <w:lvlJc w:val="left"/>
      <w:pPr>
        <w:ind w:left="360" w:hanging="360"/>
      </w:pPr>
    </w:lvl>
    <w:lvl w:ilvl="1">
      <w:start w:val="8"/>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DE1C66"/>
    <w:multiLevelType w:val="multilevel"/>
    <w:tmpl w:val="2FDE1C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4F22E00"/>
    <w:multiLevelType w:val="multilevel"/>
    <w:tmpl w:val="44F22E00"/>
    <w:lvl w:ilvl="0">
      <w:start w:val="1"/>
      <w:numFmt w:val="upperRoman"/>
      <w:lvlText w:val="%1."/>
      <w:lvlJc w:val="left"/>
      <w:pPr>
        <w:ind w:left="1362" w:hanging="720"/>
      </w:pPr>
      <w:rPr>
        <w:rFonts w:hint="default"/>
      </w:rPr>
    </w:lvl>
    <w:lvl w:ilvl="1">
      <w:start w:val="1"/>
      <w:numFmt w:val="lowerLetter"/>
      <w:lvlText w:val="%2."/>
      <w:lvlJc w:val="left"/>
      <w:pPr>
        <w:ind w:left="1722" w:hanging="360"/>
      </w:p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8" w15:restartNumberingAfterBreak="0">
    <w:nsid w:val="50DB34B0"/>
    <w:multiLevelType w:val="multilevel"/>
    <w:tmpl w:val="50DB34B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57F11069"/>
    <w:multiLevelType w:val="multilevel"/>
    <w:tmpl w:val="57F110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90E53E4"/>
    <w:multiLevelType w:val="multilevel"/>
    <w:tmpl w:val="790E53E4"/>
    <w:lvl w:ilvl="0">
      <w:start w:val="8"/>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6"/>
  </w:num>
  <w:num w:numId="4">
    <w:abstractNumId w:val="9"/>
  </w:num>
  <w:num w:numId="5">
    <w:abstractNumId w:val="3"/>
  </w:num>
  <w:num w:numId="6">
    <w:abstractNumId w:val="5"/>
  </w:num>
  <w:num w:numId="7">
    <w:abstractNumId w:val="8"/>
  </w:num>
  <w:num w:numId="8">
    <w:abstractNumId w:val="1"/>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3B"/>
    <w:rsid w:val="C75F2DEB"/>
    <w:rsid w:val="F2FCA0DF"/>
    <w:rsid w:val="F6FF25D1"/>
    <w:rsid w:val="00001A0F"/>
    <w:rsid w:val="00002941"/>
    <w:rsid w:val="00002EAD"/>
    <w:rsid w:val="000074FF"/>
    <w:rsid w:val="00007E09"/>
    <w:rsid w:val="00012A64"/>
    <w:rsid w:val="00014B4D"/>
    <w:rsid w:val="00015C78"/>
    <w:rsid w:val="000218AF"/>
    <w:rsid w:val="00024291"/>
    <w:rsid w:val="00027759"/>
    <w:rsid w:val="00030AA4"/>
    <w:rsid w:val="00030E72"/>
    <w:rsid w:val="00031509"/>
    <w:rsid w:val="00031E79"/>
    <w:rsid w:val="00034325"/>
    <w:rsid w:val="000359F0"/>
    <w:rsid w:val="000363F9"/>
    <w:rsid w:val="00037B96"/>
    <w:rsid w:val="000412EA"/>
    <w:rsid w:val="00041531"/>
    <w:rsid w:val="000433FD"/>
    <w:rsid w:val="0004461E"/>
    <w:rsid w:val="00050349"/>
    <w:rsid w:val="00051A29"/>
    <w:rsid w:val="000534A4"/>
    <w:rsid w:val="00054CC5"/>
    <w:rsid w:val="00057778"/>
    <w:rsid w:val="00060632"/>
    <w:rsid w:val="00065A8A"/>
    <w:rsid w:val="00066751"/>
    <w:rsid w:val="000679FD"/>
    <w:rsid w:val="0007100D"/>
    <w:rsid w:val="00076F58"/>
    <w:rsid w:val="000800D7"/>
    <w:rsid w:val="0008020B"/>
    <w:rsid w:val="000802F3"/>
    <w:rsid w:val="00080557"/>
    <w:rsid w:val="00081B42"/>
    <w:rsid w:val="00084567"/>
    <w:rsid w:val="0008489C"/>
    <w:rsid w:val="00091771"/>
    <w:rsid w:val="00092AE2"/>
    <w:rsid w:val="00093A45"/>
    <w:rsid w:val="00096814"/>
    <w:rsid w:val="000A6246"/>
    <w:rsid w:val="000B353D"/>
    <w:rsid w:val="000B46A4"/>
    <w:rsid w:val="000C0734"/>
    <w:rsid w:val="000C07DB"/>
    <w:rsid w:val="000C272C"/>
    <w:rsid w:val="000C3225"/>
    <w:rsid w:val="000C6F99"/>
    <w:rsid w:val="000D13D0"/>
    <w:rsid w:val="000D2A84"/>
    <w:rsid w:val="000D5350"/>
    <w:rsid w:val="000D6F6C"/>
    <w:rsid w:val="000E0E4D"/>
    <w:rsid w:val="000E0E9E"/>
    <w:rsid w:val="000E34D6"/>
    <w:rsid w:val="000E3728"/>
    <w:rsid w:val="000E4F3E"/>
    <w:rsid w:val="000E7B5D"/>
    <w:rsid w:val="000F00FA"/>
    <w:rsid w:val="000F3645"/>
    <w:rsid w:val="000F45E2"/>
    <w:rsid w:val="00106059"/>
    <w:rsid w:val="00107137"/>
    <w:rsid w:val="00107FEB"/>
    <w:rsid w:val="0011088D"/>
    <w:rsid w:val="00116501"/>
    <w:rsid w:val="00116B18"/>
    <w:rsid w:val="0012161E"/>
    <w:rsid w:val="001218D9"/>
    <w:rsid w:val="001256EF"/>
    <w:rsid w:val="00131621"/>
    <w:rsid w:val="00132496"/>
    <w:rsid w:val="00134B07"/>
    <w:rsid w:val="00135A4D"/>
    <w:rsid w:val="0013795A"/>
    <w:rsid w:val="0014071C"/>
    <w:rsid w:val="001426A6"/>
    <w:rsid w:val="0014401F"/>
    <w:rsid w:val="00145434"/>
    <w:rsid w:val="00146FB7"/>
    <w:rsid w:val="00152A69"/>
    <w:rsid w:val="00153BA3"/>
    <w:rsid w:val="00155451"/>
    <w:rsid w:val="00155585"/>
    <w:rsid w:val="00155FCE"/>
    <w:rsid w:val="00156984"/>
    <w:rsid w:val="001610C1"/>
    <w:rsid w:val="00164DFE"/>
    <w:rsid w:val="0017195C"/>
    <w:rsid w:val="0018359E"/>
    <w:rsid w:val="001860EB"/>
    <w:rsid w:val="00190126"/>
    <w:rsid w:val="00191FF2"/>
    <w:rsid w:val="00193658"/>
    <w:rsid w:val="0019533E"/>
    <w:rsid w:val="001A09D3"/>
    <w:rsid w:val="001A2C55"/>
    <w:rsid w:val="001A7577"/>
    <w:rsid w:val="001B0D25"/>
    <w:rsid w:val="001B15F8"/>
    <w:rsid w:val="001B3126"/>
    <w:rsid w:val="001B4421"/>
    <w:rsid w:val="001B577F"/>
    <w:rsid w:val="001B76EB"/>
    <w:rsid w:val="001C05ED"/>
    <w:rsid w:val="001C1AE8"/>
    <w:rsid w:val="001C3011"/>
    <w:rsid w:val="001D0B2F"/>
    <w:rsid w:val="001D321B"/>
    <w:rsid w:val="001E00F7"/>
    <w:rsid w:val="001E190D"/>
    <w:rsid w:val="001E39BC"/>
    <w:rsid w:val="001E7605"/>
    <w:rsid w:val="001F1CEC"/>
    <w:rsid w:val="001F221B"/>
    <w:rsid w:val="001F2E13"/>
    <w:rsid w:val="001F3F78"/>
    <w:rsid w:val="001F6304"/>
    <w:rsid w:val="00203260"/>
    <w:rsid w:val="00211606"/>
    <w:rsid w:val="0021271A"/>
    <w:rsid w:val="00215C62"/>
    <w:rsid w:val="0021740D"/>
    <w:rsid w:val="002339B0"/>
    <w:rsid w:val="002344E8"/>
    <w:rsid w:val="00235C2D"/>
    <w:rsid w:val="002379D1"/>
    <w:rsid w:val="00237B88"/>
    <w:rsid w:val="0024141A"/>
    <w:rsid w:val="0024376B"/>
    <w:rsid w:val="002456B4"/>
    <w:rsid w:val="002472C4"/>
    <w:rsid w:val="00252459"/>
    <w:rsid w:val="00255FA0"/>
    <w:rsid w:val="0025701C"/>
    <w:rsid w:val="00257B4B"/>
    <w:rsid w:val="002602E2"/>
    <w:rsid w:val="00260E67"/>
    <w:rsid w:val="002642FE"/>
    <w:rsid w:val="00264F0B"/>
    <w:rsid w:val="00265410"/>
    <w:rsid w:val="002704A2"/>
    <w:rsid w:val="00274ECF"/>
    <w:rsid w:val="00274FF0"/>
    <w:rsid w:val="00285EF2"/>
    <w:rsid w:val="002950EB"/>
    <w:rsid w:val="0029544D"/>
    <w:rsid w:val="00295C14"/>
    <w:rsid w:val="00296258"/>
    <w:rsid w:val="002A55D0"/>
    <w:rsid w:val="002A6A27"/>
    <w:rsid w:val="002C074E"/>
    <w:rsid w:val="002C07EA"/>
    <w:rsid w:val="002C5A3E"/>
    <w:rsid w:val="002C7FF8"/>
    <w:rsid w:val="002D1208"/>
    <w:rsid w:val="002D3339"/>
    <w:rsid w:val="002D3D18"/>
    <w:rsid w:val="002D5305"/>
    <w:rsid w:val="002D582E"/>
    <w:rsid w:val="002E0D9B"/>
    <w:rsid w:val="002E30E3"/>
    <w:rsid w:val="002E3EA8"/>
    <w:rsid w:val="002E57CD"/>
    <w:rsid w:val="002E7452"/>
    <w:rsid w:val="002F5846"/>
    <w:rsid w:val="003031F0"/>
    <w:rsid w:val="003109EC"/>
    <w:rsid w:val="00310FBF"/>
    <w:rsid w:val="00311478"/>
    <w:rsid w:val="00313082"/>
    <w:rsid w:val="0031355D"/>
    <w:rsid w:val="003167E2"/>
    <w:rsid w:val="003169F5"/>
    <w:rsid w:val="00317864"/>
    <w:rsid w:val="00321BA6"/>
    <w:rsid w:val="003246A1"/>
    <w:rsid w:val="0032690C"/>
    <w:rsid w:val="00326CD8"/>
    <w:rsid w:val="003310F4"/>
    <w:rsid w:val="00334DB5"/>
    <w:rsid w:val="00336F7C"/>
    <w:rsid w:val="00340802"/>
    <w:rsid w:val="00341277"/>
    <w:rsid w:val="003429BF"/>
    <w:rsid w:val="00344BD4"/>
    <w:rsid w:val="00345617"/>
    <w:rsid w:val="00347F4C"/>
    <w:rsid w:val="003523B8"/>
    <w:rsid w:val="003533A3"/>
    <w:rsid w:val="00353E7D"/>
    <w:rsid w:val="003568D3"/>
    <w:rsid w:val="00361C87"/>
    <w:rsid w:val="003635A4"/>
    <w:rsid w:val="00364F22"/>
    <w:rsid w:val="00366111"/>
    <w:rsid w:val="00366368"/>
    <w:rsid w:val="00370DB9"/>
    <w:rsid w:val="003758DB"/>
    <w:rsid w:val="00376923"/>
    <w:rsid w:val="00376A42"/>
    <w:rsid w:val="00390D14"/>
    <w:rsid w:val="00393834"/>
    <w:rsid w:val="00397087"/>
    <w:rsid w:val="003A1890"/>
    <w:rsid w:val="003A42E0"/>
    <w:rsid w:val="003A55D7"/>
    <w:rsid w:val="003A6107"/>
    <w:rsid w:val="003B05BD"/>
    <w:rsid w:val="003B1C18"/>
    <w:rsid w:val="003B2644"/>
    <w:rsid w:val="003B355D"/>
    <w:rsid w:val="003C0B92"/>
    <w:rsid w:val="003C34FF"/>
    <w:rsid w:val="003C40EC"/>
    <w:rsid w:val="003C4894"/>
    <w:rsid w:val="003C58A8"/>
    <w:rsid w:val="003C7D02"/>
    <w:rsid w:val="003D014D"/>
    <w:rsid w:val="003D32CD"/>
    <w:rsid w:val="003D3825"/>
    <w:rsid w:val="003D40B4"/>
    <w:rsid w:val="003D70FC"/>
    <w:rsid w:val="003D77BD"/>
    <w:rsid w:val="003E086F"/>
    <w:rsid w:val="003F1C7F"/>
    <w:rsid w:val="003F28B2"/>
    <w:rsid w:val="003F2C78"/>
    <w:rsid w:val="003F3E53"/>
    <w:rsid w:val="003F4628"/>
    <w:rsid w:val="003F5BD4"/>
    <w:rsid w:val="003F780B"/>
    <w:rsid w:val="00400653"/>
    <w:rsid w:val="00402B3C"/>
    <w:rsid w:val="00405835"/>
    <w:rsid w:val="004109F7"/>
    <w:rsid w:val="00411C26"/>
    <w:rsid w:val="00412F3A"/>
    <w:rsid w:val="0042554F"/>
    <w:rsid w:val="00425B90"/>
    <w:rsid w:val="00426081"/>
    <w:rsid w:val="00427427"/>
    <w:rsid w:val="004325C0"/>
    <w:rsid w:val="00435FA6"/>
    <w:rsid w:val="00440CA1"/>
    <w:rsid w:val="00444424"/>
    <w:rsid w:val="00450385"/>
    <w:rsid w:val="0045327C"/>
    <w:rsid w:val="004560A7"/>
    <w:rsid w:val="0045799E"/>
    <w:rsid w:val="0046113F"/>
    <w:rsid w:val="004635FE"/>
    <w:rsid w:val="00465970"/>
    <w:rsid w:val="00466326"/>
    <w:rsid w:val="00466DDC"/>
    <w:rsid w:val="00467797"/>
    <w:rsid w:val="00472023"/>
    <w:rsid w:val="004720DB"/>
    <w:rsid w:val="004725A7"/>
    <w:rsid w:val="00472ACD"/>
    <w:rsid w:val="00472BE9"/>
    <w:rsid w:val="004761C9"/>
    <w:rsid w:val="00477474"/>
    <w:rsid w:val="00477AE4"/>
    <w:rsid w:val="00480C39"/>
    <w:rsid w:val="0048161C"/>
    <w:rsid w:val="00483D81"/>
    <w:rsid w:val="00484ACC"/>
    <w:rsid w:val="00484F5D"/>
    <w:rsid w:val="00485A89"/>
    <w:rsid w:val="004879A2"/>
    <w:rsid w:val="00490440"/>
    <w:rsid w:val="00491ED7"/>
    <w:rsid w:val="0049247E"/>
    <w:rsid w:val="004938A1"/>
    <w:rsid w:val="004A07FD"/>
    <w:rsid w:val="004A1BF2"/>
    <w:rsid w:val="004A272F"/>
    <w:rsid w:val="004A437F"/>
    <w:rsid w:val="004B1B37"/>
    <w:rsid w:val="004B3834"/>
    <w:rsid w:val="004B599B"/>
    <w:rsid w:val="004B658E"/>
    <w:rsid w:val="004C136D"/>
    <w:rsid w:val="004C64C9"/>
    <w:rsid w:val="004C6B6D"/>
    <w:rsid w:val="004D3D23"/>
    <w:rsid w:val="004D3D68"/>
    <w:rsid w:val="004D64ED"/>
    <w:rsid w:val="004E37DF"/>
    <w:rsid w:val="004E513A"/>
    <w:rsid w:val="004E5566"/>
    <w:rsid w:val="004E602C"/>
    <w:rsid w:val="004E6FA9"/>
    <w:rsid w:val="004F1915"/>
    <w:rsid w:val="004F21F4"/>
    <w:rsid w:val="004F3460"/>
    <w:rsid w:val="004F50DA"/>
    <w:rsid w:val="004F5145"/>
    <w:rsid w:val="004F6FE0"/>
    <w:rsid w:val="004F7857"/>
    <w:rsid w:val="00500288"/>
    <w:rsid w:val="0050109F"/>
    <w:rsid w:val="00501D97"/>
    <w:rsid w:val="00502CC0"/>
    <w:rsid w:val="0050462F"/>
    <w:rsid w:val="005100A0"/>
    <w:rsid w:val="005101C3"/>
    <w:rsid w:val="005102B1"/>
    <w:rsid w:val="005114F4"/>
    <w:rsid w:val="00512229"/>
    <w:rsid w:val="0051443C"/>
    <w:rsid w:val="00521601"/>
    <w:rsid w:val="00522192"/>
    <w:rsid w:val="0052325C"/>
    <w:rsid w:val="005239EE"/>
    <w:rsid w:val="0052488E"/>
    <w:rsid w:val="005270EE"/>
    <w:rsid w:val="005301EE"/>
    <w:rsid w:val="00531B6E"/>
    <w:rsid w:val="005375EB"/>
    <w:rsid w:val="005401CC"/>
    <w:rsid w:val="00543BCA"/>
    <w:rsid w:val="005444C1"/>
    <w:rsid w:val="00545216"/>
    <w:rsid w:val="00545A42"/>
    <w:rsid w:val="00547023"/>
    <w:rsid w:val="00547862"/>
    <w:rsid w:val="00551BF1"/>
    <w:rsid w:val="005573F4"/>
    <w:rsid w:val="00561085"/>
    <w:rsid w:val="00561178"/>
    <w:rsid w:val="0056152C"/>
    <w:rsid w:val="005630A2"/>
    <w:rsid w:val="00564215"/>
    <w:rsid w:val="0056514A"/>
    <w:rsid w:val="00566054"/>
    <w:rsid w:val="00567B80"/>
    <w:rsid w:val="00576DD7"/>
    <w:rsid w:val="00585A3F"/>
    <w:rsid w:val="00585B9B"/>
    <w:rsid w:val="00592BF7"/>
    <w:rsid w:val="00593F8D"/>
    <w:rsid w:val="005A0E01"/>
    <w:rsid w:val="005A7326"/>
    <w:rsid w:val="005A7505"/>
    <w:rsid w:val="005B0064"/>
    <w:rsid w:val="005B08B6"/>
    <w:rsid w:val="005B4DAA"/>
    <w:rsid w:val="005B5BC5"/>
    <w:rsid w:val="005B6EC1"/>
    <w:rsid w:val="005C18E7"/>
    <w:rsid w:val="005C2D6F"/>
    <w:rsid w:val="005C30DE"/>
    <w:rsid w:val="005C40E0"/>
    <w:rsid w:val="005C5DF8"/>
    <w:rsid w:val="005C5E07"/>
    <w:rsid w:val="005C76B4"/>
    <w:rsid w:val="005D214A"/>
    <w:rsid w:val="005D2DF1"/>
    <w:rsid w:val="005D4EC6"/>
    <w:rsid w:val="005D7FB6"/>
    <w:rsid w:val="005E2242"/>
    <w:rsid w:val="005E2DBC"/>
    <w:rsid w:val="005E3F66"/>
    <w:rsid w:val="005E549C"/>
    <w:rsid w:val="005E6D30"/>
    <w:rsid w:val="005E7783"/>
    <w:rsid w:val="005F2D6D"/>
    <w:rsid w:val="005F47C8"/>
    <w:rsid w:val="005F55DE"/>
    <w:rsid w:val="005F565F"/>
    <w:rsid w:val="005F572A"/>
    <w:rsid w:val="005F7107"/>
    <w:rsid w:val="006005C4"/>
    <w:rsid w:val="00601CC0"/>
    <w:rsid w:val="00604B63"/>
    <w:rsid w:val="00605CBB"/>
    <w:rsid w:val="0060698F"/>
    <w:rsid w:val="006122F5"/>
    <w:rsid w:val="00612498"/>
    <w:rsid w:val="0061354B"/>
    <w:rsid w:val="00614179"/>
    <w:rsid w:val="0061490B"/>
    <w:rsid w:val="006174C9"/>
    <w:rsid w:val="00617AF1"/>
    <w:rsid w:val="006200BD"/>
    <w:rsid w:val="00624F94"/>
    <w:rsid w:val="0062748A"/>
    <w:rsid w:val="006305CD"/>
    <w:rsid w:val="00633CC2"/>
    <w:rsid w:val="00640968"/>
    <w:rsid w:val="0064110B"/>
    <w:rsid w:val="006415C1"/>
    <w:rsid w:val="0064361E"/>
    <w:rsid w:val="006445E8"/>
    <w:rsid w:val="006501AC"/>
    <w:rsid w:val="00651529"/>
    <w:rsid w:val="006522C5"/>
    <w:rsid w:val="006539EC"/>
    <w:rsid w:val="00654804"/>
    <w:rsid w:val="0065590C"/>
    <w:rsid w:val="006574ED"/>
    <w:rsid w:val="00657689"/>
    <w:rsid w:val="00663A9A"/>
    <w:rsid w:val="006649F1"/>
    <w:rsid w:val="00665C70"/>
    <w:rsid w:val="0066765B"/>
    <w:rsid w:val="0067038D"/>
    <w:rsid w:val="0067227B"/>
    <w:rsid w:val="00672372"/>
    <w:rsid w:val="00672504"/>
    <w:rsid w:val="00673487"/>
    <w:rsid w:val="0067390C"/>
    <w:rsid w:val="006818D1"/>
    <w:rsid w:val="00685B63"/>
    <w:rsid w:val="00685E57"/>
    <w:rsid w:val="0068650D"/>
    <w:rsid w:val="0069197A"/>
    <w:rsid w:val="00692EF4"/>
    <w:rsid w:val="00694C15"/>
    <w:rsid w:val="006A0E08"/>
    <w:rsid w:val="006A389B"/>
    <w:rsid w:val="006A4301"/>
    <w:rsid w:val="006A780E"/>
    <w:rsid w:val="006A7DC0"/>
    <w:rsid w:val="006B2388"/>
    <w:rsid w:val="006B26D7"/>
    <w:rsid w:val="006B3FA6"/>
    <w:rsid w:val="006B52E9"/>
    <w:rsid w:val="006B6166"/>
    <w:rsid w:val="006B7C1A"/>
    <w:rsid w:val="006B7D24"/>
    <w:rsid w:val="006C2A19"/>
    <w:rsid w:val="006C2D6C"/>
    <w:rsid w:val="006C487F"/>
    <w:rsid w:val="006C5899"/>
    <w:rsid w:val="006C7725"/>
    <w:rsid w:val="006D1A66"/>
    <w:rsid w:val="006D2BC6"/>
    <w:rsid w:val="006D4889"/>
    <w:rsid w:val="006D7765"/>
    <w:rsid w:val="006E43D6"/>
    <w:rsid w:val="006F01B1"/>
    <w:rsid w:val="006F0643"/>
    <w:rsid w:val="006F2B8D"/>
    <w:rsid w:val="006F3D53"/>
    <w:rsid w:val="006F44E4"/>
    <w:rsid w:val="006F48C9"/>
    <w:rsid w:val="006F4F36"/>
    <w:rsid w:val="006F609A"/>
    <w:rsid w:val="006F7CA4"/>
    <w:rsid w:val="007021C1"/>
    <w:rsid w:val="0070370F"/>
    <w:rsid w:val="00705A4F"/>
    <w:rsid w:val="00706C52"/>
    <w:rsid w:val="00710704"/>
    <w:rsid w:val="00712645"/>
    <w:rsid w:val="00714CB0"/>
    <w:rsid w:val="00716483"/>
    <w:rsid w:val="007216A5"/>
    <w:rsid w:val="00721DC3"/>
    <w:rsid w:val="0073178B"/>
    <w:rsid w:val="007364B7"/>
    <w:rsid w:val="00737BA0"/>
    <w:rsid w:val="007442B9"/>
    <w:rsid w:val="00745B85"/>
    <w:rsid w:val="0075033B"/>
    <w:rsid w:val="007512AD"/>
    <w:rsid w:val="0075155F"/>
    <w:rsid w:val="00753DEF"/>
    <w:rsid w:val="00755321"/>
    <w:rsid w:val="00764565"/>
    <w:rsid w:val="00764892"/>
    <w:rsid w:val="0076633A"/>
    <w:rsid w:val="00766503"/>
    <w:rsid w:val="0076733C"/>
    <w:rsid w:val="0077009A"/>
    <w:rsid w:val="0077101B"/>
    <w:rsid w:val="007724C9"/>
    <w:rsid w:val="00774F29"/>
    <w:rsid w:val="007754D0"/>
    <w:rsid w:val="0077597B"/>
    <w:rsid w:val="00776298"/>
    <w:rsid w:val="00783666"/>
    <w:rsid w:val="00783DA8"/>
    <w:rsid w:val="0079103A"/>
    <w:rsid w:val="00791CC9"/>
    <w:rsid w:val="00791E16"/>
    <w:rsid w:val="0079477B"/>
    <w:rsid w:val="00794E25"/>
    <w:rsid w:val="00795E42"/>
    <w:rsid w:val="007970BC"/>
    <w:rsid w:val="007979A6"/>
    <w:rsid w:val="007A0165"/>
    <w:rsid w:val="007A70ED"/>
    <w:rsid w:val="007B1A31"/>
    <w:rsid w:val="007B1C2C"/>
    <w:rsid w:val="007B4394"/>
    <w:rsid w:val="007B5802"/>
    <w:rsid w:val="007C3282"/>
    <w:rsid w:val="007C5F98"/>
    <w:rsid w:val="007D0B9A"/>
    <w:rsid w:val="007D65BA"/>
    <w:rsid w:val="007E3FCF"/>
    <w:rsid w:val="007E4AC0"/>
    <w:rsid w:val="007F4B4B"/>
    <w:rsid w:val="007F5606"/>
    <w:rsid w:val="007F5A57"/>
    <w:rsid w:val="007F5B70"/>
    <w:rsid w:val="00806702"/>
    <w:rsid w:val="00807A36"/>
    <w:rsid w:val="008109DC"/>
    <w:rsid w:val="0081142C"/>
    <w:rsid w:val="00811F17"/>
    <w:rsid w:val="0081269E"/>
    <w:rsid w:val="008155A5"/>
    <w:rsid w:val="0082005C"/>
    <w:rsid w:val="00826CD6"/>
    <w:rsid w:val="00834B7A"/>
    <w:rsid w:val="00834EE7"/>
    <w:rsid w:val="008358F5"/>
    <w:rsid w:val="0083706F"/>
    <w:rsid w:val="00841060"/>
    <w:rsid w:val="00841B8B"/>
    <w:rsid w:val="0084521D"/>
    <w:rsid w:val="008468FC"/>
    <w:rsid w:val="00846FFF"/>
    <w:rsid w:val="00847FB3"/>
    <w:rsid w:val="00854A75"/>
    <w:rsid w:val="00857240"/>
    <w:rsid w:val="0086207C"/>
    <w:rsid w:val="00862224"/>
    <w:rsid w:val="00862319"/>
    <w:rsid w:val="0086263E"/>
    <w:rsid w:val="00862B95"/>
    <w:rsid w:val="00863189"/>
    <w:rsid w:val="008651E8"/>
    <w:rsid w:val="00872ABE"/>
    <w:rsid w:val="00873E87"/>
    <w:rsid w:val="00880003"/>
    <w:rsid w:val="00880222"/>
    <w:rsid w:val="008808B6"/>
    <w:rsid w:val="008810C0"/>
    <w:rsid w:val="00883A77"/>
    <w:rsid w:val="00886929"/>
    <w:rsid w:val="0089072E"/>
    <w:rsid w:val="0089360B"/>
    <w:rsid w:val="00893D7E"/>
    <w:rsid w:val="008953CD"/>
    <w:rsid w:val="008A1525"/>
    <w:rsid w:val="008A1EBD"/>
    <w:rsid w:val="008A33FD"/>
    <w:rsid w:val="008A5F7E"/>
    <w:rsid w:val="008B1921"/>
    <w:rsid w:val="008B3C95"/>
    <w:rsid w:val="008B575F"/>
    <w:rsid w:val="008B649F"/>
    <w:rsid w:val="008C1531"/>
    <w:rsid w:val="008C2626"/>
    <w:rsid w:val="008C27B7"/>
    <w:rsid w:val="008C3318"/>
    <w:rsid w:val="008C4D00"/>
    <w:rsid w:val="008C7811"/>
    <w:rsid w:val="008D53F1"/>
    <w:rsid w:val="008D58CC"/>
    <w:rsid w:val="008D5958"/>
    <w:rsid w:val="008E06CA"/>
    <w:rsid w:val="008E08A8"/>
    <w:rsid w:val="008E2B3D"/>
    <w:rsid w:val="008E5C3A"/>
    <w:rsid w:val="008E5C85"/>
    <w:rsid w:val="008E72F8"/>
    <w:rsid w:val="008F0B21"/>
    <w:rsid w:val="008F0E8F"/>
    <w:rsid w:val="008F37E2"/>
    <w:rsid w:val="008F53D2"/>
    <w:rsid w:val="008F627E"/>
    <w:rsid w:val="00901F94"/>
    <w:rsid w:val="00902239"/>
    <w:rsid w:val="00902258"/>
    <w:rsid w:val="00903F98"/>
    <w:rsid w:val="00904174"/>
    <w:rsid w:val="0091027E"/>
    <w:rsid w:val="00911929"/>
    <w:rsid w:val="00913405"/>
    <w:rsid w:val="00915A40"/>
    <w:rsid w:val="00916DB4"/>
    <w:rsid w:val="009171D8"/>
    <w:rsid w:val="0091788D"/>
    <w:rsid w:val="00917EA9"/>
    <w:rsid w:val="009200AF"/>
    <w:rsid w:val="00920530"/>
    <w:rsid w:val="0092063A"/>
    <w:rsid w:val="00925DC3"/>
    <w:rsid w:val="009266BB"/>
    <w:rsid w:val="00927917"/>
    <w:rsid w:val="00930D06"/>
    <w:rsid w:val="009313B0"/>
    <w:rsid w:val="00931518"/>
    <w:rsid w:val="00931939"/>
    <w:rsid w:val="00940245"/>
    <w:rsid w:val="009410EA"/>
    <w:rsid w:val="00943A3E"/>
    <w:rsid w:val="009449B6"/>
    <w:rsid w:val="0094726E"/>
    <w:rsid w:val="00953068"/>
    <w:rsid w:val="00954AB2"/>
    <w:rsid w:val="00954F2D"/>
    <w:rsid w:val="009554CB"/>
    <w:rsid w:val="00957C3B"/>
    <w:rsid w:val="00957FF4"/>
    <w:rsid w:val="00960979"/>
    <w:rsid w:val="009609A0"/>
    <w:rsid w:val="009639D4"/>
    <w:rsid w:val="00964ACE"/>
    <w:rsid w:val="00964DEF"/>
    <w:rsid w:val="00966FF3"/>
    <w:rsid w:val="0096752D"/>
    <w:rsid w:val="00967877"/>
    <w:rsid w:val="00982A4E"/>
    <w:rsid w:val="00985F4D"/>
    <w:rsid w:val="00993EAC"/>
    <w:rsid w:val="00996496"/>
    <w:rsid w:val="0099736C"/>
    <w:rsid w:val="0099774D"/>
    <w:rsid w:val="009A0B0E"/>
    <w:rsid w:val="009A26A3"/>
    <w:rsid w:val="009A784C"/>
    <w:rsid w:val="009B2834"/>
    <w:rsid w:val="009B6AF2"/>
    <w:rsid w:val="009C4166"/>
    <w:rsid w:val="009C7B40"/>
    <w:rsid w:val="009D12B2"/>
    <w:rsid w:val="009D1FD8"/>
    <w:rsid w:val="009D2BB8"/>
    <w:rsid w:val="009D6CB7"/>
    <w:rsid w:val="009E23AF"/>
    <w:rsid w:val="009E6B9C"/>
    <w:rsid w:val="009E710F"/>
    <w:rsid w:val="009F05AD"/>
    <w:rsid w:val="009F7C73"/>
    <w:rsid w:val="00A013CC"/>
    <w:rsid w:val="00A027AC"/>
    <w:rsid w:val="00A041F4"/>
    <w:rsid w:val="00A05BEE"/>
    <w:rsid w:val="00A13E7B"/>
    <w:rsid w:val="00A14F38"/>
    <w:rsid w:val="00A157DD"/>
    <w:rsid w:val="00A16DB1"/>
    <w:rsid w:val="00A16FB8"/>
    <w:rsid w:val="00A17CAD"/>
    <w:rsid w:val="00A2059E"/>
    <w:rsid w:val="00A210A5"/>
    <w:rsid w:val="00A2367F"/>
    <w:rsid w:val="00A23CFF"/>
    <w:rsid w:val="00A24155"/>
    <w:rsid w:val="00A24678"/>
    <w:rsid w:val="00A25E31"/>
    <w:rsid w:val="00A304F7"/>
    <w:rsid w:val="00A32B91"/>
    <w:rsid w:val="00A32DF5"/>
    <w:rsid w:val="00A34305"/>
    <w:rsid w:val="00A355B8"/>
    <w:rsid w:val="00A35695"/>
    <w:rsid w:val="00A41856"/>
    <w:rsid w:val="00A50604"/>
    <w:rsid w:val="00A57C29"/>
    <w:rsid w:val="00A634D6"/>
    <w:rsid w:val="00A63F9D"/>
    <w:rsid w:val="00A64E51"/>
    <w:rsid w:val="00A6604E"/>
    <w:rsid w:val="00A7556D"/>
    <w:rsid w:val="00A80CD3"/>
    <w:rsid w:val="00A81920"/>
    <w:rsid w:val="00A83269"/>
    <w:rsid w:val="00A86FBB"/>
    <w:rsid w:val="00A908D2"/>
    <w:rsid w:val="00A93A33"/>
    <w:rsid w:val="00A96231"/>
    <w:rsid w:val="00A972F4"/>
    <w:rsid w:val="00A97CDA"/>
    <w:rsid w:val="00AA2F54"/>
    <w:rsid w:val="00AA4532"/>
    <w:rsid w:val="00AA463D"/>
    <w:rsid w:val="00AA554D"/>
    <w:rsid w:val="00AA5FB9"/>
    <w:rsid w:val="00AB0950"/>
    <w:rsid w:val="00AB1C2D"/>
    <w:rsid w:val="00AC1989"/>
    <w:rsid w:val="00AC2E38"/>
    <w:rsid w:val="00AC553B"/>
    <w:rsid w:val="00AC62E9"/>
    <w:rsid w:val="00AD1069"/>
    <w:rsid w:val="00AD20DA"/>
    <w:rsid w:val="00AD7B69"/>
    <w:rsid w:val="00AE3759"/>
    <w:rsid w:val="00AE4054"/>
    <w:rsid w:val="00AE4E38"/>
    <w:rsid w:val="00AF0553"/>
    <w:rsid w:val="00AF2518"/>
    <w:rsid w:val="00AF2BA6"/>
    <w:rsid w:val="00AF37D7"/>
    <w:rsid w:val="00AF5210"/>
    <w:rsid w:val="00AF64C8"/>
    <w:rsid w:val="00B0589E"/>
    <w:rsid w:val="00B062D8"/>
    <w:rsid w:val="00B0772E"/>
    <w:rsid w:val="00B077E8"/>
    <w:rsid w:val="00B120B1"/>
    <w:rsid w:val="00B12371"/>
    <w:rsid w:val="00B1414D"/>
    <w:rsid w:val="00B141C3"/>
    <w:rsid w:val="00B15341"/>
    <w:rsid w:val="00B21BD8"/>
    <w:rsid w:val="00B25DC3"/>
    <w:rsid w:val="00B26362"/>
    <w:rsid w:val="00B27738"/>
    <w:rsid w:val="00B3090B"/>
    <w:rsid w:val="00B3168B"/>
    <w:rsid w:val="00B3342F"/>
    <w:rsid w:val="00B351EA"/>
    <w:rsid w:val="00B365B9"/>
    <w:rsid w:val="00B3672F"/>
    <w:rsid w:val="00B3694D"/>
    <w:rsid w:val="00B400CB"/>
    <w:rsid w:val="00B5102B"/>
    <w:rsid w:val="00B52B29"/>
    <w:rsid w:val="00B56050"/>
    <w:rsid w:val="00B56660"/>
    <w:rsid w:val="00B56F7C"/>
    <w:rsid w:val="00B6409A"/>
    <w:rsid w:val="00B65639"/>
    <w:rsid w:val="00B65A8B"/>
    <w:rsid w:val="00B711C4"/>
    <w:rsid w:val="00B731CB"/>
    <w:rsid w:val="00B74C0B"/>
    <w:rsid w:val="00B76C52"/>
    <w:rsid w:val="00B810CC"/>
    <w:rsid w:val="00B82E16"/>
    <w:rsid w:val="00B8354C"/>
    <w:rsid w:val="00B855AD"/>
    <w:rsid w:val="00B86379"/>
    <w:rsid w:val="00B87B5E"/>
    <w:rsid w:val="00B93DC0"/>
    <w:rsid w:val="00B93FC2"/>
    <w:rsid w:val="00B977FD"/>
    <w:rsid w:val="00BA299F"/>
    <w:rsid w:val="00BA33C0"/>
    <w:rsid w:val="00BA3903"/>
    <w:rsid w:val="00BB1A51"/>
    <w:rsid w:val="00BB39A2"/>
    <w:rsid w:val="00BB3E1C"/>
    <w:rsid w:val="00BC3306"/>
    <w:rsid w:val="00BC44F4"/>
    <w:rsid w:val="00BD04CE"/>
    <w:rsid w:val="00BD74D2"/>
    <w:rsid w:val="00BE3246"/>
    <w:rsid w:val="00BE3F49"/>
    <w:rsid w:val="00BE42F6"/>
    <w:rsid w:val="00BE44F9"/>
    <w:rsid w:val="00BE459D"/>
    <w:rsid w:val="00BE60D4"/>
    <w:rsid w:val="00BE6C61"/>
    <w:rsid w:val="00BE70A8"/>
    <w:rsid w:val="00BF1D2A"/>
    <w:rsid w:val="00BF4146"/>
    <w:rsid w:val="00C0013A"/>
    <w:rsid w:val="00C009B6"/>
    <w:rsid w:val="00C0119D"/>
    <w:rsid w:val="00C04776"/>
    <w:rsid w:val="00C0621D"/>
    <w:rsid w:val="00C10CDC"/>
    <w:rsid w:val="00C1190B"/>
    <w:rsid w:val="00C20382"/>
    <w:rsid w:val="00C230BB"/>
    <w:rsid w:val="00C30901"/>
    <w:rsid w:val="00C33714"/>
    <w:rsid w:val="00C34ECA"/>
    <w:rsid w:val="00C350EB"/>
    <w:rsid w:val="00C356F4"/>
    <w:rsid w:val="00C37CFF"/>
    <w:rsid w:val="00C40903"/>
    <w:rsid w:val="00C430CD"/>
    <w:rsid w:val="00C430D1"/>
    <w:rsid w:val="00C46D67"/>
    <w:rsid w:val="00C47445"/>
    <w:rsid w:val="00C47CFB"/>
    <w:rsid w:val="00C54B19"/>
    <w:rsid w:val="00C55343"/>
    <w:rsid w:val="00C56312"/>
    <w:rsid w:val="00C5760A"/>
    <w:rsid w:val="00C6554A"/>
    <w:rsid w:val="00C70AA1"/>
    <w:rsid w:val="00C71FE7"/>
    <w:rsid w:val="00C75E9F"/>
    <w:rsid w:val="00C82060"/>
    <w:rsid w:val="00C8624F"/>
    <w:rsid w:val="00C901D9"/>
    <w:rsid w:val="00C916F8"/>
    <w:rsid w:val="00C976BE"/>
    <w:rsid w:val="00CA21EA"/>
    <w:rsid w:val="00CA2455"/>
    <w:rsid w:val="00CA2757"/>
    <w:rsid w:val="00CA422D"/>
    <w:rsid w:val="00CA4434"/>
    <w:rsid w:val="00CA58D4"/>
    <w:rsid w:val="00CB2BA3"/>
    <w:rsid w:val="00CB452C"/>
    <w:rsid w:val="00CB4DE3"/>
    <w:rsid w:val="00CB6A2E"/>
    <w:rsid w:val="00CB78D5"/>
    <w:rsid w:val="00CC2603"/>
    <w:rsid w:val="00CC60D0"/>
    <w:rsid w:val="00CC6B5B"/>
    <w:rsid w:val="00CC7FDF"/>
    <w:rsid w:val="00CD42C1"/>
    <w:rsid w:val="00CE1335"/>
    <w:rsid w:val="00CE39D3"/>
    <w:rsid w:val="00CE48E7"/>
    <w:rsid w:val="00CE50ED"/>
    <w:rsid w:val="00CE76B9"/>
    <w:rsid w:val="00CF12BB"/>
    <w:rsid w:val="00CF1D0F"/>
    <w:rsid w:val="00CF4EE1"/>
    <w:rsid w:val="00CF5357"/>
    <w:rsid w:val="00CF75B9"/>
    <w:rsid w:val="00D00484"/>
    <w:rsid w:val="00D01137"/>
    <w:rsid w:val="00D04C85"/>
    <w:rsid w:val="00D0608F"/>
    <w:rsid w:val="00D110F5"/>
    <w:rsid w:val="00D16BB8"/>
    <w:rsid w:val="00D16BF4"/>
    <w:rsid w:val="00D16FCA"/>
    <w:rsid w:val="00D17BA0"/>
    <w:rsid w:val="00D17C57"/>
    <w:rsid w:val="00D23C0B"/>
    <w:rsid w:val="00D24CF1"/>
    <w:rsid w:val="00D275A4"/>
    <w:rsid w:val="00D27AC6"/>
    <w:rsid w:val="00D30365"/>
    <w:rsid w:val="00D304C7"/>
    <w:rsid w:val="00D33772"/>
    <w:rsid w:val="00D337E1"/>
    <w:rsid w:val="00D346B6"/>
    <w:rsid w:val="00D37CE6"/>
    <w:rsid w:val="00D4066B"/>
    <w:rsid w:val="00D51FEC"/>
    <w:rsid w:val="00D52261"/>
    <w:rsid w:val="00D5710C"/>
    <w:rsid w:val="00D6297C"/>
    <w:rsid w:val="00D6362A"/>
    <w:rsid w:val="00D70359"/>
    <w:rsid w:val="00D7064B"/>
    <w:rsid w:val="00D76845"/>
    <w:rsid w:val="00D81BE2"/>
    <w:rsid w:val="00D82278"/>
    <w:rsid w:val="00D82BFF"/>
    <w:rsid w:val="00D848FF"/>
    <w:rsid w:val="00D87E64"/>
    <w:rsid w:val="00DA11DF"/>
    <w:rsid w:val="00DA16C9"/>
    <w:rsid w:val="00DA174D"/>
    <w:rsid w:val="00DA1D93"/>
    <w:rsid w:val="00DA46C2"/>
    <w:rsid w:val="00DA51D1"/>
    <w:rsid w:val="00DA55ED"/>
    <w:rsid w:val="00DB38DF"/>
    <w:rsid w:val="00DB5397"/>
    <w:rsid w:val="00DB5483"/>
    <w:rsid w:val="00DC17C9"/>
    <w:rsid w:val="00DC46E7"/>
    <w:rsid w:val="00DC62DF"/>
    <w:rsid w:val="00DC7337"/>
    <w:rsid w:val="00DD34D5"/>
    <w:rsid w:val="00DD4AC9"/>
    <w:rsid w:val="00DD4FE5"/>
    <w:rsid w:val="00DD6C81"/>
    <w:rsid w:val="00DD6DB9"/>
    <w:rsid w:val="00DE0641"/>
    <w:rsid w:val="00DE1EAD"/>
    <w:rsid w:val="00DE2165"/>
    <w:rsid w:val="00DE2782"/>
    <w:rsid w:val="00DE35F1"/>
    <w:rsid w:val="00DE5531"/>
    <w:rsid w:val="00DE78A1"/>
    <w:rsid w:val="00DF4588"/>
    <w:rsid w:val="00DF6198"/>
    <w:rsid w:val="00DF6271"/>
    <w:rsid w:val="00E00E0D"/>
    <w:rsid w:val="00E01638"/>
    <w:rsid w:val="00E03FB6"/>
    <w:rsid w:val="00E043D5"/>
    <w:rsid w:val="00E05104"/>
    <w:rsid w:val="00E05986"/>
    <w:rsid w:val="00E06A87"/>
    <w:rsid w:val="00E10589"/>
    <w:rsid w:val="00E10B40"/>
    <w:rsid w:val="00E11D70"/>
    <w:rsid w:val="00E12A47"/>
    <w:rsid w:val="00E155A6"/>
    <w:rsid w:val="00E15E31"/>
    <w:rsid w:val="00E168B8"/>
    <w:rsid w:val="00E21D0D"/>
    <w:rsid w:val="00E2756F"/>
    <w:rsid w:val="00E275FC"/>
    <w:rsid w:val="00E30A82"/>
    <w:rsid w:val="00E30F57"/>
    <w:rsid w:val="00E315FB"/>
    <w:rsid w:val="00E343E8"/>
    <w:rsid w:val="00E35D34"/>
    <w:rsid w:val="00E403A8"/>
    <w:rsid w:val="00E4185C"/>
    <w:rsid w:val="00E42DCB"/>
    <w:rsid w:val="00E468FA"/>
    <w:rsid w:val="00E46B30"/>
    <w:rsid w:val="00E50767"/>
    <w:rsid w:val="00E529E8"/>
    <w:rsid w:val="00E54F9D"/>
    <w:rsid w:val="00E6773E"/>
    <w:rsid w:val="00E70091"/>
    <w:rsid w:val="00E73195"/>
    <w:rsid w:val="00E74046"/>
    <w:rsid w:val="00E7407D"/>
    <w:rsid w:val="00E75751"/>
    <w:rsid w:val="00E77558"/>
    <w:rsid w:val="00E86438"/>
    <w:rsid w:val="00E939A4"/>
    <w:rsid w:val="00E9657D"/>
    <w:rsid w:val="00E97789"/>
    <w:rsid w:val="00EA0610"/>
    <w:rsid w:val="00EA1176"/>
    <w:rsid w:val="00EA1587"/>
    <w:rsid w:val="00EA5A84"/>
    <w:rsid w:val="00EA6F2B"/>
    <w:rsid w:val="00EB2762"/>
    <w:rsid w:val="00EB2DBF"/>
    <w:rsid w:val="00EC0F9F"/>
    <w:rsid w:val="00EC2719"/>
    <w:rsid w:val="00EC39BC"/>
    <w:rsid w:val="00EC4CD4"/>
    <w:rsid w:val="00EC636B"/>
    <w:rsid w:val="00ED0639"/>
    <w:rsid w:val="00ED1692"/>
    <w:rsid w:val="00ED3961"/>
    <w:rsid w:val="00ED6F05"/>
    <w:rsid w:val="00EE2CFB"/>
    <w:rsid w:val="00EE330B"/>
    <w:rsid w:val="00EE4BEC"/>
    <w:rsid w:val="00EE6AFA"/>
    <w:rsid w:val="00F01275"/>
    <w:rsid w:val="00F0444C"/>
    <w:rsid w:val="00F072BE"/>
    <w:rsid w:val="00F10232"/>
    <w:rsid w:val="00F102B5"/>
    <w:rsid w:val="00F13A2B"/>
    <w:rsid w:val="00F14C04"/>
    <w:rsid w:val="00F14E68"/>
    <w:rsid w:val="00F164EF"/>
    <w:rsid w:val="00F1704C"/>
    <w:rsid w:val="00F17F4F"/>
    <w:rsid w:val="00F23D68"/>
    <w:rsid w:val="00F24C53"/>
    <w:rsid w:val="00F24D5A"/>
    <w:rsid w:val="00F25F81"/>
    <w:rsid w:val="00F2634F"/>
    <w:rsid w:val="00F31E26"/>
    <w:rsid w:val="00F354E8"/>
    <w:rsid w:val="00F35BC9"/>
    <w:rsid w:val="00F37105"/>
    <w:rsid w:val="00F37D88"/>
    <w:rsid w:val="00F45C5D"/>
    <w:rsid w:val="00F45C9F"/>
    <w:rsid w:val="00F4623D"/>
    <w:rsid w:val="00F4774D"/>
    <w:rsid w:val="00F50898"/>
    <w:rsid w:val="00F50B8E"/>
    <w:rsid w:val="00F539B9"/>
    <w:rsid w:val="00F554B7"/>
    <w:rsid w:val="00F55E23"/>
    <w:rsid w:val="00F6183A"/>
    <w:rsid w:val="00F61CCA"/>
    <w:rsid w:val="00F61EE1"/>
    <w:rsid w:val="00F62EA5"/>
    <w:rsid w:val="00F65E7C"/>
    <w:rsid w:val="00F70E77"/>
    <w:rsid w:val="00F76233"/>
    <w:rsid w:val="00F80A20"/>
    <w:rsid w:val="00F812BF"/>
    <w:rsid w:val="00F81B23"/>
    <w:rsid w:val="00F8393C"/>
    <w:rsid w:val="00F87E28"/>
    <w:rsid w:val="00F92794"/>
    <w:rsid w:val="00F9521C"/>
    <w:rsid w:val="00F95FAB"/>
    <w:rsid w:val="00FA0CA3"/>
    <w:rsid w:val="00FA1534"/>
    <w:rsid w:val="00FB4989"/>
    <w:rsid w:val="00FB4FFD"/>
    <w:rsid w:val="00FB509B"/>
    <w:rsid w:val="00FC1FF5"/>
    <w:rsid w:val="00FC2B6E"/>
    <w:rsid w:val="00FC4E24"/>
    <w:rsid w:val="00FC6E90"/>
    <w:rsid w:val="00FC7BB2"/>
    <w:rsid w:val="00FD1424"/>
    <w:rsid w:val="00FE2594"/>
    <w:rsid w:val="00FE49E9"/>
    <w:rsid w:val="00FE74C5"/>
    <w:rsid w:val="00FE7B79"/>
    <w:rsid w:val="00FF1007"/>
    <w:rsid w:val="00FF1F0C"/>
    <w:rsid w:val="00FF3E6F"/>
    <w:rsid w:val="7BFE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0AE0B7"/>
  <w15:docId w15:val="{7E4EB3A1-F018-4DE8-9513-E20E4E2F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unhideWhenUsed="1" w:qFormat="1"/>
    <w:lsdException w:name="annotation text" w:semiHidden="1"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heme="minorBidi"/>
      <w:sz w:val="28"/>
      <w:szCs w:val="22"/>
      <w14:ligatures w14:val="standardContextual"/>
    </w:rPr>
  </w:style>
  <w:style w:type="paragraph" w:styleId="Heading1">
    <w:name w:val="heading 1"/>
    <w:basedOn w:val="Normal"/>
    <w:next w:val="Normal"/>
    <w:link w:val="Heading1Char"/>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qFormat/>
    <w:pPr>
      <w:spacing w:before="120" w:after="0" w:line="252" w:lineRule="auto"/>
      <w:ind w:firstLine="567"/>
      <w:jc w:val="both"/>
      <w:outlineLvl w:val="2"/>
    </w:pPr>
    <w:rPr>
      <w:rFonts w:eastAsia="Times New Roman" w:cs="Times New Roman"/>
      <w:b/>
      <w:bCs/>
      <w:szCs w:val="27"/>
    </w:rPr>
  </w:style>
  <w:style w:type="paragraph" w:styleId="Heading4">
    <w:name w:val="heading 4"/>
    <w:basedOn w:val="Normal"/>
    <w:next w:val="Normal"/>
    <w:link w:val="Heading4Char"/>
    <w:unhideWhenUsed/>
    <w:qFormat/>
    <w:pPr>
      <w:keepNext/>
      <w:keepLines/>
      <w:spacing w:before="120" w:after="0" w:line="252" w:lineRule="auto"/>
      <w:ind w:firstLine="567"/>
      <w:jc w:val="both"/>
      <w:outlineLvl w:val="3"/>
    </w:pPr>
    <w:rPr>
      <w:rFonts w:eastAsiaTheme="majorEastAsia" w:cstheme="majorBidi"/>
      <w:b/>
      <w:i/>
      <w:iCs/>
      <w:color w:val="002060"/>
    </w:rPr>
  </w:style>
  <w:style w:type="paragraph" w:styleId="Heading5">
    <w:name w:val="heading 5"/>
    <w:basedOn w:val="Normal"/>
    <w:next w:val="Normal"/>
    <w:link w:val="Heading5Char"/>
    <w:uiPriority w:val="9"/>
    <w:unhideWhenUsed/>
    <w:qFormat/>
    <w:pPr>
      <w:keepNext/>
      <w:keepLines/>
      <w:spacing w:before="120" w:after="0" w:line="252" w:lineRule="auto"/>
      <w:ind w:firstLine="567"/>
      <w:jc w:val="both"/>
      <w:outlineLvl w:val="4"/>
    </w:pPr>
    <w:rPr>
      <w:rFonts w:eastAsiaTheme="majorEastAsia" w:cstheme="majorBidi"/>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3">
    <w:name w:val="Body Text Indent 3"/>
    <w:basedOn w:val="Normal"/>
    <w:link w:val="BodyTextIndent3Char"/>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pPr>
    <w:rPr>
      <w:rFonts w:ascii=".VnTime" w:eastAsia="Times New Roman" w:hAnsi=".VnTime" w:cs="Times New Roman"/>
      <w:sz w:val="24"/>
      <w:szCs w:val="20"/>
      <w:lang w:val="zh-CN" w:eastAsia="zh-CN"/>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eastAsia="Times New Roman" w:cs="Times New Roman"/>
      <w:sz w:val="20"/>
      <w:szCs w:val="20"/>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qFormat/>
    <w:pPr>
      <w:tabs>
        <w:tab w:val="center" w:pos="4320"/>
        <w:tab w:val="right" w:pos="8640"/>
      </w:tabs>
      <w:spacing w:after="0" w:line="240" w:lineRule="auto"/>
    </w:pPr>
    <w:rPr>
      <w:rFonts w:eastAsia="Times New Roman" w:cs="Times New Roman"/>
      <w:szCs w:val="28"/>
    </w:rPr>
  </w:style>
  <w:style w:type="character" w:styleId="FootnoteReference">
    <w:name w:val="footnote reference"/>
    <w:unhideWhenUsed/>
    <w:qFormat/>
    <w:rPr>
      <w:vertAlign w:val="superscript"/>
    </w:rPr>
  </w:style>
  <w:style w:type="paragraph" w:styleId="FootnoteText">
    <w:name w:val="footnote text"/>
    <w:basedOn w:val="Normal"/>
    <w:link w:val="FootnoteTextChar"/>
    <w:unhideWhenUsed/>
    <w:qFormat/>
    <w:pPr>
      <w:spacing w:after="0" w:line="240" w:lineRule="auto"/>
    </w:pPr>
    <w:rPr>
      <w:rFonts w:eastAsia="Times New Roman" w:cs="Times New Roman"/>
      <w:sz w:val="20"/>
      <w:szCs w:val="20"/>
    </w:r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character" w:styleId="HTMLTypewriter">
    <w:name w:val="HTML Typewriter"/>
    <w:basedOn w:val="DefaultParagraphFont"/>
    <w:uiPriority w:val="99"/>
    <w:semiHidden/>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Verdana" w:eastAsia="Times New Roman" w:hAnsi="Verdana"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widowControl w:val="0"/>
      <w:suppressAutoHyphens/>
      <w:spacing w:after="120" w:line="240" w:lineRule="auto"/>
      <w:ind w:firstLine="720"/>
      <w:jc w:val="both"/>
    </w:pPr>
    <w:rPr>
      <w:rFonts w:eastAsia="Times New Roman" w:cs="Times New Roman"/>
      <w:b/>
      <w:kern w:val="1"/>
      <w:sz w:val="24"/>
      <w:szCs w:val="24"/>
    </w:rPr>
  </w:style>
  <w:style w:type="paragraph" w:styleId="TOC1">
    <w:name w:val="toc 1"/>
    <w:basedOn w:val="Normal"/>
    <w:next w:val="Normal"/>
    <w:uiPriority w:val="39"/>
    <w:qFormat/>
    <w:pPr>
      <w:tabs>
        <w:tab w:val="right" w:leader="dot" w:pos="9350"/>
      </w:tabs>
      <w:spacing w:before="120" w:after="180" w:line="240" w:lineRule="auto"/>
      <w:ind w:firstLine="720"/>
      <w:jc w:val="center"/>
      <w:outlineLvl w:val="0"/>
    </w:pPr>
    <w:rPr>
      <w:rFonts w:cs="Times New Roman"/>
      <w:b/>
      <w:bCs/>
      <w:caps/>
      <w:szCs w:val="28"/>
      <w:lang w:val="vi-VN"/>
    </w:rPr>
  </w:style>
  <w:style w:type="paragraph" w:styleId="TOC2">
    <w:name w:val="toc 2"/>
    <w:basedOn w:val="Normal"/>
    <w:next w:val="Normal"/>
    <w:uiPriority w:val="39"/>
    <w:unhideWhenUsed/>
    <w:qFormat/>
    <w:pPr>
      <w:tabs>
        <w:tab w:val="right" w:leader="dot" w:pos="9350"/>
      </w:tabs>
      <w:spacing w:before="120" w:after="180" w:line="240" w:lineRule="auto"/>
      <w:ind w:firstLine="709"/>
      <w:jc w:val="both"/>
    </w:pPr>
    <w:rPr>
      <w:rFonts w:asciiTheme="minorHAnsi" w:hAnsiTheme="minorHAnsi" w:cstheme="minorHAnsi"/>
      <w:b/>
      <w:bCs/>
      <w:sz w:val="20"/>
      <w:szCs w:val="20"/>
    </w:rPr>
  </w:style>
  <w:style w:type="paragraph" w:styleId="TOC3">
    <w:name w:val="toc 3"/>
    <w:basedOn w:val="Normal"/>
    <w:next w:val="Normal"/>
    <w:uiPriority w:val="39"/>
    <w:qFormat/>
    <w:pPr>
      <w:spacing w:before="120" w:after="120" w:line="288" w:lineRule="auto"/>
      <w:ind w:left="280" w:firstLine="440"/>
      <w:jc w:val="both"/>
      <w:outlineLvl w:val="1"/>
    </w:pPr>
    <w:rPr>
      <w:rFonts w:cs="Times New Roman"/>
      <w:b/>
      <w:spacing w:val="-4"/>
      <w:szCs w:val="28"/>
    </w:rPr>
  </w:style>
  <w:style w:type="paragraph" w:styleId="TOC4">
    <w:name w:val="toc 4"/>
    <w:basedOn w:val="Normal"/>
    <w:next w:val="Normal"/>
    <w:uiPriority w:val="39"/>
    <w:qFormat/>
    <w:pPr>
      <w:spacing w:after="0"/>
      <w:ind w:left="560"/>
    </w:pPr>
    <w:rPr>
      <w:rFonts w:asciiTheme="minorHAnsi" w:hAnsiTheme="minorHAnsi" w:cstheme="minorHAnsi"/>
      <w:sz w:val="20"/>
      <w:szCs w:val="20"/>
    </w:rPr>
  </w:style>
  <w:style w:type="paragraph" w:styleId="TOC5">
    <w:name w:val="toc 5"/>
    <w:basedOn w:val="Normal"/>
    <w:next w:val="Normal"/>
    <w:uiPriority w:val="39"/>
    <w:qFormat/>
    <w:pPr>
      <w:spacing w:after="0"/>
      <w:ind w:left="840"/>
    </w:pPr>
    <w:rPr>
      <w:rFonts w:asciiTheme="minorHAnsi" w:hAnsiTheme="minorHAnsi" w:cstheme="minorHAnsi"/>
      <w:sz w:val="20"/>
      <w:szCs w:val="20"/>
    </w:rPr>
  </w:style>
  <w:style w:type="paragraph" w:styleId="TOC6">
    <w:name w:val="toc 6"/>
    <w:basedOn w:val="Normal"/>
    <w:next w:val="Normal"/>
    <w:uiPriority w:val="39"/>
    <w:qFormat/>
    <w:pPr>
      <w:spacing w:after="0"/>
      <w:ind w:left="1120"/>
    </w:pPr>
    <w:rPr>
      <w:rFonts w:asciiTheme="minorHAnsi" w:hAnsiTheme="minorHAnsi" w:cstheme="minorHAnsi"/>
      <w:sz w:val="20"/>
      <w:szCs w:val="20"/>
    </w:rPr>
  </w:style>
  <w:style w:type="paragraph" w:styleId="TOC7">
    <w:name w:val="toc 7"/>
    <w:basedOn w:val="Normal"/>
    <w:next w:val="Normal"/>
    <w:uiPriority w:val="39"/>
    <w:qFormat/>
    <w:pPr>
      <w:spacing w:after="0"/>
      <w:ind w:left="1400"/>
    </w:pPr>
    <w:rPr>
      <w:rFonts w:asciiTheme="minorHAnsi" w:hAnsiTheme="minorHAnsi" w:cstheme="minorHAnsi"/>
      <w:sz w:val="20"/>
      <w:szCs w:val="20"/>
    </w:rPr>
  </w:style>
  <w:style w:type="paragraph" w:styleId="TOC8">
    <w:name w:val="toc 8"/>
    <w:basedOn w:val="Normal"/>
    <w:next w:val="Normal"/>
    <w:uiPriority w:val="39"/>
    <w:qFormat/>
    <w:pPr>
      <w:spacing w:after="0"/>
      <w:ind w:left="1680"/>
    </w:pPr>
    <w:rPr>
      <w:rFonts w:asciiTheme="minorHAnsi" w:hAnsiTheme="minorHAnsi" w:cstheme="minorHAnsi"/>
      <w:sz w:val="20"/>
      <w:szCs w:val="20"/>
    </w:rPr>
  </w:style>
  <w:style w:type="paragraph" w:styleId="TOC9">
    <w:name w:val="toc 9"/>
    <w:basedOn w:val="Normal"/>
    <w:next w:val="Normal"/>
    <w:uiPriority w:val="39"/>
    <w:qFormat/>
    <w:pPr>
      <w:spacing w:after="0"/>
      <w:ind w:left="1960"/>
    </w:pPr>
    <w:rPr>
      <w:rFonts w:asciiTheme="minorHAnsi" w:hAnsiTheme="minorHAnsi" w:cstheme="minorHAnsi"/>
      <w:sz w:val="20"/>
      <w:szCs w:val="20"/>
    </w:rPr>
  </w:style>
  <w:style w:type="character" w:customStyle="1" w:styleId="Heading1Char">
    <w:name w:val="Heading 1 Char"/>
    <w:basedOn w:val="DefaultParagraphFont"/>
    <w:link w:val="Heading1"/>
    <w:qFormat/>
    <w:rPr>
      <w:rFonts w:eastAsia="Times New Roman"/>
      <w:b/>
      <w:bCs/>
      <w:kern w:val="36"/>
      <w:sz w:val="48"/>
      <w:szCs w:val="48"/>
    </w:rPr>
  </w:style>
  <w:style w:type="character" w:customStyle="1" w:styleId="Heading2Char">
    <w:name w:val="Heading 2 Char"/>
    <w:basedOn w:val="DefaultParagraphFont"/>
    <w:link w:val="Heading2"/>
    <w:qFormat/>
    <w:rPr>
      <w:rFonts w:eastAsia="Times New Roman"/>
      <w:b/>
      <w:bCs/>
      <w:kern w:val="0"/>
      <w:sz w:val="36"/>
      <w:szCs w:val="36"/>
    </w:rPr>
  </w:style>
  <w:style w:type="character" w:customStyle="1" w:styleId="Heading3Char">
    <w:name w:val="Heading 3 Char"/>
    <w:basedOn w:val="DefaultParagraphFont"/>
    <w:link w:val="Heading3"/>
    <w:uiPriority w:val="9"/>
    <w:qFormat/>
    <w:rPr>
      <w:rFonts w:eastAsia="Times New Roman"/>
      <w:b/>
      <w:bCs/>
      <w:kern w:val="0"/>
      <w:sz w:val="28"/>
      <w:szCs w:val="27"/>
    </w:rPr>
  </w:style>
  <w:style w:type="character" w:customStyle="1" w:styleId="Heading4Char">
    <w:name w:val="Heading 4 Char"/>
    <w:basedOn w:val="DefaultParagraphFont"/>
    <w:link w:val="Heading4"/>
    <w:qFormat/>
    <w:rPr>
      <w:rFonts w:eastAsiaTheme="majorEastAsia" w:cstheme="majorBidi"/>
      <w:b/>
      <w:i/>
      <w:iCs/>
      <w:color w:val="002060"/>
      <w:kern w:val="0"/>
      <w:sz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kern w:val="0"/>
      <w:sz w:val="18"/>
      <w:szCs w:val="18"/>
    </w:rPr>
  </w:style>
  <w:style w:type="character" w:customStyle="1" w:styleId="FootnoteTextChar">
    <w:name w:val="Footnote Text Char"/>
    <w:basedOn w:val="DefaultParagraphFont"/>
    <w:link w:val="FootnoteText"/>
    <w:qFormat/>
    <w:rPr>
      <w:rFonts w:eastAsia="Times New Roman"/>
      <w:kern w:val="0"/>
      <w:sz w:val="20"/>
      <w:szCs w:val="20"/>
    </w:rPr>
  </w:style>
  <w:style w:type="character" w:customStyle="1" w:styleId="normal-h1">
    <w:name w:val="normal-h1"/>
    <w:qFormat/>
    <w:rPr>
      <w:rFonts w:ascii=".VnTime" w:hAnsi=".VnTime" w:hint="default"/>
      <w:color w:val="0000FF"/>
      <w:sz w:val="24"/>
      <w:szCs w:val="24"/>
    </w:rPr>
  </w:style>
  <w:style w:type="paragraph" w:customStyle="1" w:styleId="normal-p">
    <w:name w:val="normal-p"/>
    <w:basedOn w:val="Normal"/>
    <w:qFormat/>
    <w:pPr>
      <w:overflowPunct w:val="0"/>
      <w:spacing w:after="0" w:line="240" w:lineRule="auto"/>
      <w:jc w:val="both"/>
      <w:textAlignment w:val="baseline"/>
    </w:pPr>
    <w:rPr>
      <w:rFonts w:eastAsia="Times New Roman" w:cs="Times New Roman"/>
      <w:sz w:val="20"/>
      <w:szCs w:val="20"/>
    </w:rPr>
  </w:style>
  <w:style w:type="character" w:customStyle="1" w:styleId="NormalWebChar">
    <w:name w:val="Normal (Web) Char"/>
    <w:link w:val="NormalWeb"/>
    <w:uiPriority w:val="99"/>
    <w:qFormat/>
    <w:locked/>
    <w:rPr>
      <w:rFonts w:ascii="Verdana" w:eastAsia="Times New Roman" w:hAnsi="Verdana"/>
      <w:kern w:val="0"/>
      <w:szCs w:val="24"/>
    </w:rPr>
  </w:style>
  <w:style w:type="paragraph" w:customStyle="1" w:styleId="ez-toc-title">
    <w:name w:val="ez-toc-title"/>
    <w:basedOn w:val="Normal"/>
    <w:qFormat/>
    <w:pPr>
      <w:spacing w:before="100" w:beforeAutospacing="1" w:after="100" w:afterAutospacing="1" w:line="240" w:lineRule="auto"/>
    </w:pPr>
    <w:rPr>
      <w:rFonts w:eastAsia="Times New Roman" w:cs="Times New Roman"/>
      <w:sz w:val="24"/>
      <w:szCs w:val="24"/>
    </w:rPr>
  </w:style>
  <w:style w:type="character" w:customStyle="1" w:styleId="postviewcount">
    <w:name w:val="postviewcount"/>
    <w:basedOn w:val="DefaultParagraphFont"/>
    <w:qFormat/>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00"/>
      <w:ind w:firstLine="400"/>
    </w:pPr>
    <w:rPr>
      <w:rFonts w:cs="Times New Roman"/>
      <w:kern w:val="2"/>
      <w:sz w:val="26"/>
      <w:szCs w:val="26"/>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14:ligatures w14:val="standardContextual"/>
    </w:rPr>
  </w:style>
  <w:style w:type="paragraph" w:customStyle="1" w:styleId="CharCharChar1">
    <w:name w:val="Char Char Char1"/>
    <w:basedOn w:val="Heading4"/>
    <w:qFormat/>
    <w:pPr>
      <w:keepLines w:val="0"/>
      <w:spacing w:before="240" w:after="60" w:line="240" w:lineRule="auto"/>
      <w:ind w:right="-392"/>
    </w:pPr>
    <w:rPr>
      <w:rFonts w:eastAsia="Times New Roman" w:cs="Times New Roman"/>
      <w:b w:val="0"/>
      <w:i w:val="0"/>
      <w:color w:val="auto"/>
      <w:sz w:val="27"/>
      <w:szCs w:val="28"/>
    </w:rPr>
  </w:style>
  <w:style w:type="paragraph" w:customStyle="1" w:styleId="TOCHeading1">
    <w:name w:val="TOC Heading1"/>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FooterChar">
    <w:name w:val="Footer Char"/>
    <w:basedOn w:val="DefaultParagraphFont"/>
    <w:link w:val="Footer"/>
    <w:qFormat/>
    <w:rPr>
      <w:rFonts w:eastAsia="Times New Roman"/>
      <w:kern w:val="0"/>
      <w:sz w:val="28"/>
      <w:szCs w:val="28"/>
    </w:rPr>
  </w:style>
  <w:style w:type="character" w:customStyle="1" w:styleId="CommentTextChar">
    <w:name w:val="Comment Text Char"/>
    <w:basedOn w:val="DefaultParagraphFont"/>
    <w:link w:val="CommentText"/>
    <w:semiHidden/>
    <w:qFormat/>
    <w:rPr>
      <w:rFonts w:eastAsia="Times New Roman"/>
      <w:kern w:val="0"/>
      <w:sz w:val="20"/>
      <w:szCs w:val="20"/>
    </w:rPr>
  </w:style>
  <w:style w:type="character" w:customStyle="1" w:styleId="CommentSubjectChar">
    <w:name w:val="Comment Subject Char"/>
    <w:basedOn w:val="CommentTextChar"/>
    <w:link w:val="CommentSubject"/>
    <w:semiHidden/>
    <w:qFormat/>
    <w:rPr>
      <w:rFonts w:eastAsia="Times New Roman"/>
      <w:b/>
      <w:bCs/>
      <w:kern w:val="0"/>
      <w:sz w:val="20"/>
      <w:szCs w:val="20"/>
    </w:rPr>
  </w:style>
  <w:style w:type="character" w:customStyle="1" w:styleId="HeaderChar">
    <w:name w:val="Header Char"/>
    <w:basedOn w:val="DefaultParagraphFont"/>
    <w:link w:val="Header"/>
    <w:uiPriority w:val="99"/>
    <w:qFormat/>
    <w:rPr>
      <w:rFonts w:eastAsia="Times New Roman"/>
      <w:kern w:val="0"/>
      <w:szCs w:val="24"/>
    </w:rPr>
  </w:style>
  <w:style w:type="paragraph" w:customStyle="1" w:styleId="CharCharChar">
    <w:name w:val="Char Char Char"/>
    <w:basedOn w:val="Heading4"/>
    <w:qFormat/>
    <w:pPr>
      <w:keepLines w:val="0"/>
      <w:spacing w:before="240" w:after="60" w:line="240" w:lineRule="auto"/>
      <w:ind w:right="-392"/>
    </w:pPr>
    <w:rPr>
      <w:rFonts w:eastAsia="Times New Roman" w:cs="Times New Roman"/>
      <w:b w:val="0"/>
      <w:i w:val="0"/>
      <w:color w:val="auto"/>
      <w:sz w:val="27"/>
      <w:szCs w:val="28"/>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rPr>
  </w:style>
  <w:style w:type="paragraph" w:customStyle="1" w:styleId="Char">
    <w:name w:val="Char"/>
    <w:basedOn w:val="Heading4"/>
    <w:qFormat/>
    <w:pPr>
      <w:keepLines w:val="0"/>
      <w:spacing w:before="240" w:after="60" w:line="240" w:lineRule="auto"/>
      <w:ind w:right="-392"/>
    </w:pPr>
    <w:rPr>
      <w:rFonts w:eastAsia="Times New Roman" w:cs="Times New Roman"/>
      <w:b w:val="0"/>
      <w:i w:val="0"/>
      <w:color w:val="auto"/>
      <w:sz w:val="27"/>
      <w:szCs w:val="28"/>
    </w:rPr>
  </w:style>
  <w:style w:type="character" w:customStyle="1" w:styleId="BodyTextIndent3Char">
    <w:name w:val="Body Text Indent 3 Char"/>
    <w:basedOn w:val="DefaultParagraphFont"/>
    <w:link w:val="BodyTextIndent3"/>
    <w:qFormat/>
    <w:rPr>
      <w:rFonts w:ascii=".VnTime" w:eastAsia="Times New Roman" w:hAnsi=".VnTime"/>
      <w:kern w:val="0"/>
      <w:szCs w:val="20"/>
      <w:lang w:val="zh-CN" w:eastAsia="zh-CN"/>
    </w:rPr>
  </w:style>
  <w:style w:type="paragraph" w:customStyle="1" w:styleId="CharCharCharCharCharCharCharCharChar1Char">
    <w:name w:val="Char Char Char Char Char Char Char Char Char1 Char"/>
    <w:basedOn w:val="Normal"/>
    <w:semiHidden/>
    <w:qFormat/>
    <w:pPr>
      <w:spacing w:after="160" w:line="240" w:lineRule="exact"/>
    </w:pPr>
    <w:rPr>
      <w:rFonts w:ascii="Arial" w:eastAsia="Times New Roman" w:hAnsi="Arial" w:cs="Times New Roman"/>
      <w:sz w:val="22"/>
    </w:rPr>
  </w:style>
  <w:style w:type="paragraph" w:customStyle="1" w:styleId="dieu">
    <w:name w:val="dieu"/>
    <w:basedOn w:val="Normal"/>
    <w:link w:val="dieuChar"/>
    <w:qFormat/>
    <w:pPr>
      <w:spacing w:after="120" w:line="240" w:lineRule="auto"/>
      <w:ind w:firstLine="720"/>
    </w:pPr>
    <w:rPr>
      <w:rFonts w:eastAsia="Times New Roman" w:cs="Times New Roman"/>
      <w:b/>
      <w:color w:val="0000FF"/>
      <w:spacing w:val="24"/>
      <w:sz w:val="26"/>
      <w:szCs w:val="26"/>
      <w:lang w:val="zh-CN" w:eastAsia="zh-CN"/>
    </w:rPr>
  </w:style>
  <w:style w:type="character" w:customStyle="1" w:styleId="dieuChar">
    <w:name w:val="dieu Char"/>
    <w:link w:val="dieu"/>
    <w:qFormat/>
    <w:rPr>
      <w:rFonts w:eastAsia="Times New Roman"/>
      <w:b/>
      <w:color w:val="0000FF"/>
      <w:spacing w:val="24"/>
      <w:kern w:val="0"/>
      <w:sz w:val="26"/>
      <w:szCs w:val="26"/>
      <w:lang w:val="zh-CN" w:eastAsia="zh-CN"/>
    </w:rPr>
  </w:style>
  <w:style w:type="paragraph" w:customStyle="1" w:styleId="CharCharCharChar">
    <w:name w:val="Char Char Char Char"/>
    <w:next w:val="Normal"/>
    <w:semiHidden/>
    <w:qFormat/>
    <w:pPr>
      <w:spacing w:after="160" w:line="240" w:lineRule="exact"/>
      <w:jc w:val="both"/>
    </w:pPr>
    <w:rPr>
      <w:rFonts w:eastAsia="Times New Roman"/>
      <w:sz w:val="28"/>
      <w:szCs w:val="22"/>
      <w14:ligatures w14:val="standardContextual"/>
    </w:rPr>
  </w:style>
  <w:style w:type="character" w:customStyle="1" w:styleId="dieuChar1">
    <w:name w:val="dieu Char1"/>
    <w:qFormat/>
    <w:rPr>
      <w:b/>
      <w:color w:val="0000FF"/>
      <w:spacing w:val="24"/>
      <w:sz w:val="26"/>
      <w:szCs w:val="26"/>
      <w:lang w:val="en-US" w:eastAsia="en-US" w:bidi="ar-SA"/>
    </w:rPr>
  </w:style>
  <w:style w:type="character" w:customStyle="1" w:styleId="normal-h">
    <w:name w:val="normal-h"/>
    <w:basedOn w:val="DefaultParagraphFont"/>
    <w:qFormat/>
  </w:style>
  <w:style w:type="paragraph" w:customStyle="1" w:styleId="Normal1">
    <w:name w:val="Normal1"/>
    <w:basedOn w:val="Normal"/>
    <w:qFormat/>
    <w:pPr>
      <w:spacing w:before="100" w:beforeAutospacing="1" w:after="100" w:afterAutospacing="1" w:line="240" w:lineRule="auto"/>
    </w:pPr>
    <w:rPr>
      <w:rFonts w:eastAsia="SimSun" w:cs="Times New Roman"/>
      <w:color w:val="000000"/>
      <w:sz w:val="24"/>
      <w:szCs w:val="24"/>
      <w:lang w:eastAsia="zh-CN"/>
    </w:rPr>
  </w:style>
  <w:style w:type="character" w:customStyle="1" w:styleId="demuc4">
    <w:name w:val="demuc4"/>
    <w:basedOn w:val="DefaultParagraphFont"/>
    <w:qFormat/>
  </w:style>
  <w:style w:type="paragraph" w:customStyle="1" w:styleId="2">
    <w:name w:val="2"/>
    <w:basedOn w:val="Heading1"/>
    <w:qFormat/>
    <w:pPr>
      <w:keepNext/>
      <w:spacing w:before="120" w:beforeAutospacing="0" w:after="120" w:afterAutospacing="0" w:line="360" w:lineRule="auto"/>
    </w:pPr>
    <w:rPr>
      <w:bCs w:val="0"/>
      <w:kern w:val="32"/>
      <w:sz w:val="28"/>
      <w:szCs w:val="28"/>
    </w:rPr>
  </w:style>
  <w:style w:type="character" w:customStyle="1" w:styleId="dieuchar1-h">
    <w:name w:val="dieuchar1-h"/>
    <w:basedOn w:val="DefaultParagraphFont"/>
    <w:qFormat/>
  </w:style>
  <w:style w:type="character" w:customStyle="1" w:styleId="BodyTextChar">
    <w:name w:val="Body Text Char"/>
    <w:basedOn w:val="DefaultParagraphFont"/>
    <w:link w:val="BodyText"/>
    <w:uiPriority w:val="99"/>
    <w:qFormat/>
    <w:rPr>
      <w:rFonts w:cstheme="minorBidi"/>
      <w:kern w:val="0"/>
      <w:sz w:val="28"/>
    </w:rPr>
  </w:style>
  <w:style w:type="paragraph" w:customStyle="1" w:styleId="StyleHeading2TimesNewRomanNotItalicFirstline127cm">
    <w:name w:val="Style Heading 2 + Times New Roman Not Italic First line:  1.27 cm"/>
    <w:basedOn w:val="Heading2"/>
    <w:qFormat/>
    <w:pPr>
      <w:keepNext/>
      <w:spacing w:before="240" w:beforeAutospacing="0" w:after="60" w:afterAutospacing="0"/>
      <w:ind w:firstLine="720"/>
    </w:pPr>
    <w:rPr>
      <w:sz w:val="28"/>
      <w:szCs w:val="20"/>
    </w:rPr>
  </w:style>
  <w:style w:type="character" w:customStyle="1" w:styleId="BodyTextIndentChar">
    <w:name w:val="Body Text Indent Char"/>
    <w:basedOn w:val="DefaultParagraphFont"/>
    <w:link w:val="BodyTextIndent"/>
    <w:uiPriority w:val="99"/>
    <w:semiHidden/>
    <w:qFormat/>
    <w:rPr>
      <w:rFonts w:cstheme="minorBidi"/>
      <w:kern w:val="0"/>
      <w:sz w:val="28"/>
    </w:rPr>
  </w:style>
  <w:style w:type="character" w:customStyle="1" w:styleId="TitleChar">
    <w:name w:val="Title Char"/>
    <w:basedOn w:val="DefaultParagraphFont"/>
    <w:link w:val="Title"/>
    <w:qFormat/>
    <w:rPr>
      <w:rFonts w:eastAsia="Times New Roman"/>
      <w:b/>
      <w:kern w:val="1"/>
      <w:szCs w:val="24"/>
    </w:rPr>
  </w:style>
  <w:style w:type="character" w:customStyle="1" w:styleId="Tiu1">
    <w:name w:val="Tiêu đề #1_"/>
    <w:link w:val="Tiu10"/>
    <w:uiPriority w:val="99"/>
    <w:qFormat/>
    <w:rPr>
      <w:b/>
      <w:bCs/>
      <w:szCs w:val="28"/>
    </w:rPr>
  </w:style>
  <w:style w:type="paragraph" w:customStyle="1" w:styleId="Tiu10">
    <w:name w:val="Tiêu đề #1"/>
    <w:basedOn w:val="Normal"/>
    <w:link w:val="Tiu1"/>
    <w:uiPriority w:val="99"/>
    <w:qFormat/>
    <w:pPr>
      <w:widowControl w:val="0"/>
      <w:spacing w:after="240" w:line="245" w:lineRule="auto"/>
      <w:jc w:val="center"/>
      <w:outlineLvl w:val="0"/>
    </w:pPr>
    <w:rPr>
      <w:rFonts w:cs="Times New Roman"/>
      <w:b/>
      <w:bCs/>
      <w:kern w:val="2"/>
      <w:sz w:val="24"/>
      <w:szCs w:val="28"/>
    </w:rPr>
  </w:style>
  <w:style w:type="character" w:customStyle="1" w:styleId="BodyTextChar1">
    <w:name w:val="Body Text Char1"/>
    <w:uiPriority w:val="99"/>
    <w:qFormat/>
    <w:locked/>
    <w:rPr>
      <w:rFonts w:ascii="Times New Roman" w:hAnsi="Times New Roman"/>
      <w:sz w:val="26"/>
      <w:shd w:val="clear" w:color="auto" w:fill="FFFFFF"/>
    </w:rPr>
  </w:style>
  <w:style w:type="character" w:customStyle="1" w:styleId="bgyelow">
    <w:name w:val="bg_yelow"/>
    <w:basedOn w:val="DefaultParagraphFont"/>
    <w:qFormat/>
  </w:style>
  <w:style w:type="paragraph" w:customStyle="1" w:styleId="li-news-tip">
    <w:name w:val="li-news-tip"/>
    <w:basedOn w:val="Normal"/>
    <w:qFormat/>
    <w:pPr>
      <w:spacing w:before="100" w:beforeAutospacing="1" w:after="100" w:afterAutospacing="1" w:line="240" w:lineRule="auto"/>
    </w:pPr>
    <w:rPr>
      <w:rFonts w:eastAsia="Times New Roman" w:cs="Times New Roman"/>
      <w:sz w:val="24"/>
      <w:szCs w:val="24"/>
      <w14:ligatures w14:val="none"/>
    </w:rPr>
  </w:style>
  <w:style w:type="character" w:customStyle="1" w:styleId="tooltip-47">
    <w:name w:val="tooltip-47"/>
    <w:basedOn w:val="DefaultParagraphFont"/>
    <w:qFormat/>
  </w:style>
  <w:style w:type="character" w:customStyle="1" w:styleId="Heading5Char">
    <w:name w:val="Heading 5 Char"/>
    <w:basedOn w:val="DefaultParagraphFont"/>
    <w:link w:val="Heading5"/>
    <w:uiPriority w:val="9"/>
    <w:qFormat/>
    <w:rPr>
      <w:rFonts w:eastAsiaTheme="majorEastAsia" w:cstheme="majorBidi"/>
      <w:color w:val="2F5496" w:themeColor="accent1" w:themeShade="BF"/>
      <w:kern w:val="0"/>
      <w:sz w:val="28"/>
      <w:u w:val="single"/>
    </w:rPr>
  </w:style>
  <w:style w:type="paragraph" w:customStyle="1" w:styleId="Revision1">
    <w:name w:val="Revision1"/>
    <w:hidden/>
    <w:uiPriority w:val="99"/>
    <w:semiHidden/>
    <w:qFormat/>
    <w:rPr>
      <w:rFonts w:cstheme="minorBidi"/>
      <w:sz w:val="28"/>
      <w:szCs w:val="22"/>
      <w14:ligatures w14:val="standardContextual"/>
    </w:rPr>
  </w:style>
  <w:style w:type="paragraph" w:customStyle="1" w:styleId="iu">
    <w:name w:val="Điều"/>
    <w:basedOn w:val="Normal"/>
    <w:qFormat/>
    <w:pPr>
      <w:numPr>
        <w:numId w:val="1"/>
      </w:numPr>
      <w:spacing w:before="120" w:after="120"/>
      <w:jc w:val="both"/>
    </w:pPr>
    <w:rPr>
      <w:b/>
      <w:bCs/>
      <w:szCs w:val="28"/>
    </w:rPr>
  </w:style>
  <w:style w:type="paragraph" w:customStyle="1" w:styleId="NidungA">
    <w:name w:val="Nội dung A"/>
    <w:qFormat/>
    <w:pPr>
      <w:spacing w:before="120" w:after="120" w:line="264" w:lineRule="auto"/>
      <w:ind w:firstLine="567"/>
      <w:jc w:val="both"/>
    </w:pPr>
    <w:rPr>
      <w:rFonts w:ascii="Calibri" w:eastAsia="Calibri" w:hAnsi="Calibri" w:cs="Calibri"/>
      <w:color w:val="000000"/>
      <w:sz w:val="22"/>
      <w:szCs w:val="22"/>
      <w:u w:color="000000"/>
    </w:rPr>
  </w:style>
  <w:style w:type="paragraph" w:styleId="Revision">
    <w:name w:val="Revision"/>
    <w:hidden/>
    <w:uiPriority w:val="99"/>
    <w:unhideWhenUsed/>
    <w:rsid w:val="00DC17C9"/>
    <w:rPr>
      <w:rFonts w:cstheme="minorBidi"/>
      <w:sz w:val="28"/>
      <w:szCs w:val="22"/>
      <w14:ligatures w14:val="standardContextual"/>
    </w:rPr>
  </w:style>
  <w:style w:type="paragraph" w:customStyle="1" w:styleId="1Normal">
    <w:name w:val="1Normal"/>
    <w:basedOn w:val="Normal"/>
    <w:link w:val="1NormalChar"/>
    <w:qFormat/>
    <w:rsid w:val="00863189"/>
    <w:pPr>
      <w:widowControl w:val="0"/>
      <w:spacing w:before="120" w:after="120" w:line="240" w:lineRule="auto"/>
      <w:ind w:firstLine="567"/>
      <w:jc w:val="both"/>
    </w:pPr>
    <w:rPr>
      <w:rFonts w:eastAsia="SimSun" w:cs="Times New Roman"/>
      <w:color w:val="000000"/>
      <w:szCs w:val="28"/>
      <w:shd w:val="clear" w:color="auto" w:fill="FFFFFF"/>
      <w:lang w:val="vi-VN"/>
      <w14:ligatures w14:val="none"/>
    </w:rPr>
  </w:style>
  <w:style w:type="character" w:customStyle="1" w:styleId="1NormalChar">
    <w:name w:val="1Normal Char"/>
    <w:link w:val="1Normal"/>
    <w:rsid w:val="00863189"/>
    <w:rPr>
      <w:rFonts w:eastAsia="SimSun"/>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16154">
      <w:bodyDiv w:val="1"/>
      <w:marLeft w:val="0"/>
      <w:marRight w:val="0"/>
      <w:marTop w:val="0"/>
      <w:marBottom w:val="0"/>
      <w:divBdr>
        <w:top w:val="none" w:sz="0" w:space="0" w:color="auto"/>
        <w:left w:val="none" w:sz="0" w:space="0" w:color="auto"/>
        <w:bottom w:val="none" w:sz="0" w:space="0" w:color="auto"/>
        <w:right w:val="none" w:sz="0" w:space="0" w:color="auto"/>
      </w:divBdr>
    </w:div>
    <w:div w:id="515001111">
      <w:bodyDiv w:val="1"/>
      <w:marLeft w:val="0"/>
      <w:marRight w:val="0"/>
      <w:marTop w:val="0"/>
      <w:marBottom w:val="0"/>
      <w:divBdr>
        <w:top w:val="none" w:sz="0" w:space="0" w:color="auto"/>
        <w:left w:val="none" w:sz="0" w:space="0" w:color="auto"/>
        <w:bottom w:val="none" w:sz="0" w:space="0" w:color="auto"/>
        <w:right w:val="none" w:sz="0" w:space="0" w:color="auto"/>
      </w:divBdr>
    </w:div>
    <w:div w:id="566960543">
      <w:bodyDiv w:val="1"/>
      <w:marLeft w:val="0"/>
      <w:marRight w:val="0"/>
      <w:marTop w:val="0"/>
      <w:marBottom w:val="0"/>
      <w:divBdr>
        <w:top w:val="none" w:sz="0" w:space="0" w:color="auto"/>
        <w:left w:val="none" w:sz="0" w:space="0" w:color="auto"/>
        <w:bottom w:val="none" w:sz="0" w:space="0" w:color="auto"/>
        <w:right w:val="none" w:sz="0" w:space="0" w:color="auto"/>
      </w:divBdr>
    </w:div>
    <w:div w:id="623583203">
      <w:bodyDiv w:val="1"/>
      <w:marLeft w:val="0"/>
      <w:marRight w:val="0"/>
      <w:marTop w:val="0"/>
      <w:marBottom w:val="0"/>
      <w:divBdr>
        <w:top w:val="none" w:sz="0" w:space="0" w:color="auto"/>
        <w:left w:val="none" w:sz="0" w:space="0" w:color="auto"/>
        <w:bottom w:val="none" w:sz="0" w:space="0" w:color="auto"/>
        <w:right w:val="none" w:sz="0" w:space="0" w:color="auto"/>
      </w:divBdr>
    </w:div>
    <w:div w:id="736902357">
      <w:bodyDiv w:val="1"/>
      <w:marLeft w:val="0"/>
      <w:marRight w:val="0"/>
      <w:marTop w:val="0"/>
      <w:marBottom w:val="0"/>
      <w:divBdr>
        <w:top w:val="none" w:sz="0" w:space="0" w:color="auto"/>
        <w:left w:val="none" w:sz="0" w:space="0" w:color="auto"/>
        <w:bottom w:val="none" w:sz="0" w:space="0" w:color="auto"/>
        <w:right w:val="none" w:sz="0" w:space="0" w:color="auto"/>
      </w:divBdr>
    </w:div>
    <w:div w:id="858738012">
      <w:bodyDiv w:val="1"/>
      <w:marLeft w:val="0"/>
      <w:marRight w:val="0"/>
      <w:marTop w:val="0"/>
      <w:marBottom w:val="0"/>
      <w:divBdr>
        <w:top w:val="none" w:sz="0" w:space="0" w:color="auto"/>
        <w:left w:val="none" w:sz="0" w:space="0" w:color="auto"/>
        <w:bottom w:val="none" w:sz="0" w:space="0" w:color="auto"/>
        <w:right w:val="none" w:sz="0" w:space="0" w:color="auto"/>
      </w:divBdr>
    </w:div>
    <w:div w:id="968243804">
      <w:bodyDiv w:val="1"/>
      <w:marLeft w:val="0"/>
      <w:marRight w:val="0"/>
      <w:marTop w:val="0"/>
      <w:marBottom w:val="0"/>
      <w:divBdr>
        <w:top w:val="none" w:sz="0" w:space="0" w:color="auto"/>
        <w:left w:val="none" w:sz="0" w:space="0" w:color="auto"/>
        <w:bottom w:val="none" w:sz="0" w:space="0" w:color="auto"/>
        <w:right w:val="none" w:sz="0" w:space="0" w:color="auto"/>
      </w:divBdr>
    </w:div>
    <w:div w:id="1100612764">
      <w:bodyDiv w:val="1"/>
      <w:marLeft w:val="0"/>
      <w:marRight w:val="0"/>
      <w:marTop w:val="0"/>
      <w:marBottom w:val="0"/>
      <w:divBdr>
        <w:top w:val="none" w:sz="0" w:space="0" w:color="auto"/>
        <w:left w:val="none" w:sz="0" w:space="0" w:color="auto"/>
        <w:bottom w:val="none" w:sz="0" w:space="0" w:color="auto"/>
        <w:right w:val="none" w:sz="0" w:space="0" w:color="auto"/>
      </w:divBdr>
    </w:div>
    <w:div w:id="1296836008">
      <w:bodyDiv w:val="1"/>
      <w:marLeft w:val="0"/>
      <w:marRight w:val="0"/>
      <w:marTop w:val="0"/>
      <w:marBottom w:val="0"/>
      <w:divBdr>
        <w:top w:val="none" w:sz="0" w:space="0" w:color="auto"/>
        <w:left w:val="none" w:sz="0" w:space="0" w:color="auto"/>
        <w:bottom w:val="none" w:sz="0" w:space="0" w:color="auto"/>
        <w:right w:val="none" w:sz="0" w:space="0" w:color="auto"/>
      </w:divBdr>
    </w:div>
    <w:div w:id="1328705878">
      <w:bodyDiv w:val="1"/>
      <w:marLeft w:val="0"/>
      <w:marRight w:val="0"/>
      <w:marTop w:val="0"/>
      <w:marBottom w:val="0"/>
      <w:divBdr>
        <w:top w:val="none" w:sz="0" w:space="0" w:color="auto"/>
        <w:left w:val="none" w:sz="0" w:space="0" w:color="auto"/>
        <w:bottom w:val="none" w:sz="0" w:space="0" w:color="auto"/>
        <w:right w:val="none" w:sz="0" w:space="0" w:color="auto"/>
      </w:divBdr>
    </w:div>
    <w:div w:id="1496726920">
      <w:bodyDiv w:val="1"/>
      <w:marLeft w:val="0"/>
      <w:marRight w:val="0"/>
      <w:marTop w:val="0"/>
      <w:marBottom w:val="0"/>
      <w:divBdr>
        <w:top w:val="none" w:sz="0" w:space="0" w:color="auto"/>
        <w:left w:val="none" w:sz="0" w:space="0" w:color="auto"/>
        <w:bottom w:val="none" w:sz="0" w:space="0" w:color="auto"/>
        <w:right w:val="none" w:sz="0" w:space="0" w:color="auto"/>
      </w:divBdr>
    </w:div>
    <w:div w:id="155091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2E1D-61D8-483C-8CC4-71F4C10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7992</Words>
  <Characters>45561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(Le Thi Nhan)</dc:creator>
  <cp:lastModifiedBy>Trinh Tien Dung</cp:lastModifiedBy>
  <cp:revision>191</cp:revision>
  <cp:lastPrinted>2025-10-13T03:42:00Z</cp:lastPrinted>
  <dcterms:created xsi:type="dcterms:W3CDTF">2025-10-12T13:40:00Z</dcterms:created>
  <dcterms:modified xsi:type="dcterms:W3CDTF">2026-01-12T07:15:00Z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