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98" w:type="dxa"/>
        <w:jc w:val="center"/>
        <w:tblLayout w:type="fixed"/>
        <w:tblLook w:val="04A0" w:firstRow="1" w:lastRow="0" w:firstColumn="1" w:lastColumn="0" w:noHBand="0" w:noVBand="1"/>
      </w:tblPr>
      <w:tblGrid>
        <w:gridCol w:w="4106"/>
        <w:gridCol w:w="1592"/>
        <w:gridCol w:w="2235"/>
        <w:gridCol w:w="6865"/>
      </w:tblGrid>
      <w:tr w:rsidR="00BA13A5" w:rsidRPr="00F76233" w14:paraId="337D788C" w14:textId="77777777" w:rsidTr="001C66E3">
        <w:trPr>
          <w:trHeight w:val="999"/>
          <w:jc w:val="center"/>
        </w:trPr>
        <w:tc>
          <w:tcPr>
            <w:tcW w:w="4106" w:type="dxa"/>
          </w:tcPr>
          <w:p w14:paraId="3E032EDA" w14:textId="77777777" w:rsidR="00BA13A5" w:rsidRPr="00F76233" w:rsidRDefault="00BA13A5">
            <w:pPr>
              <w:spacing w:after="0" w:line="240" w:lineRule="auto"/>
              <w:jc w:val="center"/>
              <w:rPr>
                <w:rFonts w:cs="Times New Roman"/>
                <w:b/>
                <w:szCs w:val="28"/>
              </w:rPr>
            </w:pPr>
            <w:bookmarkStart w:id="0" w:name="_Toc81059772"/>
            <w:r>
              <w:rPr>
                <w:rFonts w:cs="Times New Roman"/>
                <w:szCs w:val="28"/>
              </w:rPr>
              <w:br w:type="page"/>
            </w:r>
            <w:r w:rsidRPr="00F76233">
              <w:rPr>
                <w:rFonts w:cs="Times New Roman"/>
                <w:b/>
                <w:szCs w:val="28"/>
              </w:rPr>
              <w:t xml:space="preserve">BỘ CÔNG THƯƠNG </w:t>
            </w:r>
          </w:p>
          <w:p w14:paraId="1B2929E1" w14:textId="5A19BD29" w:rsidR="00BA13A5" w:rsidRPr="00F76233" w:rsidRDefault="00E00AEC">
            <w:pPr>
              <w:spacing w:after="0" w:line="240" w:lineRule="auto"/>
              <w:jc w:val="center"/>
              <w:rPr>
                <w:rFonts w:cs="Times New Roman"/>
                <w:b/>
                <w:szCs w:val="28"/>
              </w:rPr>
            </w:pPr>
            <w:r>
              <w:rPr>
                <w:rFonts w:cs="Times New Roman"/>
                <w:noProof/>
                <w14:ligatures w14:val="none"/>
              </w:rPr>
              <mc:AlternateContent>
                <mc:Choice Requires="wps">
                  <w:drawing>
                    <wp:anchor distT="0" distB="0" distL="114300" distR="114300" simplePos="0" relativeHeight="251665408" behindDoc="0" locked="0" layoutInCell="1" allowOverlap="1" wp14:anchorId="287AA4AA" wp14:editId="226DD811">
                      <wp:simplePos x="0" y="0"/>
                      <wp:positionH relativeFrom="column">
                        <wp:posOffset>664209</wp:posOffset>
                      </wp:positionH>
                      <wp:positionV relativeFrom="paragraph">
                        <wp:posOffset>285115</wp:posOffset>
                      </wp:positionV>
                      <wp:extent cx="1190625" cy="409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190625" cy="409575"/>
                              </a:xfrm>
                              <a:prstGeom prst="rect">
                                <a:avLst/>
                              </a:prstGeom>
                              <a:solidFill>
                                <a:schemeClr val="lt1"/>
                              </a:solidFill>
                              <a:ln w="6350">
                                <a:solidFill>
                                  <a:prstClr val="black"/>
                                </a:solidFill>
                              </a:ln>
                            </wps:spPr>
                            <wps:txbx>
                              <w:txbxContent>
                                <w:p w14:paraId="6BB1650D" w14:textId="4500FC67" w:rsidR="00E00AEC" w:rsidRPr="00E00AEC" w:rsidRDefault="00E00AEC">
                                  <w:pPr>
                                    <w:rPr>
                                      <w:b/>
                                    </w:rPr>
                                  </w:pPr>
                                  <w:r w:rsidRPr="00E00AEC">
                                    <w:rPr>
                                      <w:b/>
                                    </w:rPr>
                                    <w:t>DỰ THẢO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7AA4AA" id="_x0000_t202" coordsize="21600,21600" o:spt="202" path="m,l,21600r21600,l21600,xe">
                      <v:stroke joinstyle="miter"/>
                      <v:path gradientshapeok="t" o:connecttype="rect"/>
                    </v:shapetype>
                    <v:shape id="Text Box 1" o:spid="_x0000_s1026" type="#_x0000_t202" style="position:absolute;left:0;text-align:left;margin-left:52.3pt;margin-top:22.45pt;width:93.75pt;height:3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" fillcolor="white [3201]" strokeweight=".5pt">
                      <v:textbox>
                        <w:txbxContent>
                          <w:p w14:paraId="6BB1650D" w14:textId="4500FC67" w:rsidR="00E00AEC" w:rsidRPr="00E00AEC" w:rsidRDefault="00E00AEC">
                            <w:pPr>
                              <w:rPr>
                                <w:b/>
                              </w:rPr>
                            </w:pPr>
                            <w:r w:rsidRPr="00E00AEC">
                              <w:rPr>
                                <w:b/>
                              </w:rPr>
                              <w:t>DỰ THẢO 2</w:t>
                            </w:r>
                          </w:p>
                        </w:txbxContent>
                      </v:textbox>
                    </v:shape>
                  </w:pict>
                </mc:Fallback>
              </mc:AlternateContent>
            </w:r>
            <w:r w:rsidR="00BA13A5" w:rsidRPr="00F76233">
              <w:rPr>
                <w:rFonts w:cs="Times New Roman"/>
                <w:noProof/>
              </w:rPr>
              <mc:AlternateContent>
                <mc:Choice Requires="wps">
                  <w:drawing>
                    <wp:anchor distT="0" distB="0" distL="114300" distR="114300" simplePos="0" relativeHeight="251663360" behindDoc="0" locked="0" layoutInCell="1" allowOverlap="1" wp14:anchorId="7BEEBA11" wp14:editId="2D460B67">
                      <wp:simplePos x="0" y="0"/>
                      <wp:positionH relativeFrom="column">
                        <wp:posOffset>827709</wp:posOffset>
                      </wp:positionH>
                      <wp:positionV relativeFrom="paragraph">
                        <wp:posOffset>74930</wp:posOffset>
                      </wp:positionV>
                      <wp:extent cx="857250" cy="0"/>
                      <wp:effectExtent l="0" t="0" r="0" b="0"/>
                      <wp:wrapNone/>
                      <wp:docPr id="1920383672" name="Straight Connector 3"/>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986992"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15pt,5.9pt" to="132.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E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" strokecolor="black [3200]" strokeweight=".5pt">
                      <v:stroke joinstyle="miter"/>
                    </v:line>
                  </w:pict>
                </mc:Fallback>
              </mc:AlternateContent>
            </w:r>
          </w:p>
        </w:tc>
        <w:tc>
          <w:tcPr>
            <w:tcW w:w="3827" w:type="dxa"/>
            <w:gridSpan w:val="2"/>
          </w:tcPr>
          <w:p w14:paraId="44AA5FCE" w14:textId="77777777" w:rsidR="00BA13A5" w:rsidRPr="00F76233" w:rsidRDefault="00BA13A5">
            <w:pPr>
              <w:spacing w:after="0" w:line="240" w:lineRule="auto"/>
              <w:rPr>
                <w:rFonts w:cs="Times New Roman"/>
                <w:b/>
                <w:szCs w:val="28"/>
              </w:rPr>
            </w:pPr>
          </w:p>
        </w:tc>
        <w:tc>
          <w:tcPr>
            <w:tcW w:w="6865" w:type="dxa"/>
          </w:tcPr>
          <w:p w14:paraId="1538578F" w14:textId="0180C8F7" w:rsidR="00BA13A5" w:rsidRPr="00F76233" w:rsidRDefault="00BA13A5">
            <w:pPr>
              <w:spacing w:after="0" w:line="240" w:lineRule="auto"/>
              <w:rPr>
                <w:rFonts w:cs="Times New Roman"/>
                <w:b/>
                <w:szCs w:val="28"/>
              </w:rPr>
            </w:pPr>
            <w:r w:rsidRPr="00F76233">
              <w:rPr>
                <w:rFonts w:cs="Times New Roman"/>
                <w:b/>
                <w:szCs w:val="28"/>
              </w:rPr>
              <w:t>CỘNG HOÀ XÃ HỘI CHỦ NGHĨA VIỆT NAM</w:t>
            </w:r>
          </w:p>
          <w:p w14:paraId="2D83D2FB" w14:textId="77777777" w:rsidR="00BA13A5" w:rsidRPr="00F76233" w:rsidRDefault="00BA13A5">
            <w:pPr>
              <w:spacing w:after="0" w:line="240" w:lineRule="auto"/>
              <w:jc w:val="center"/>
              <w:rPr>
                <w:rFonts w:cs="Times New Roman"/>
                <w:b/>
                <w:szCs w:val="28"/>
              </w:rPr>
            </w:pPr>
            <w:r w:rsidRPr="00F76233">
              <w:rPr>
                <w:rFonts w:cs="Times New Roman"/>
                <w:b/>
                <w:szCs w:val="28"/>
              </w:rPr>
              <w:t>Độc lập - Tự do - Hạnh phúc</w:t>
            </w:r>
          </w:p>
          <w:p w14:paraId="3541AC58" w14:textId="77777777" w:rsidR="00BA13A5" w:rsidRPr="00F76233" w:rsidRDefault="00BA13A5">
            <w:pPr>
              <w:spacing w:after="0" w:line="240" w:lineRule="auto"/>
              <w:jc w:val="center"/>
              <w:rPr>
                <w:rFonts w:cs="Times New Roman"/>
                <w:szCs w:val="28"/>
              </w:rPr>
            </w:pPr>
            <w:r w:rsidRPr="00F76233">
              <w:rPr>
                <w:rFonts w:cs="Times New Roman"/>
                <w:noProof/>
              </w:rPr>
              <mc:AlternateContent>
                <mc:Choice Requires="wps">
                  <w:drawing>
                    <wp:anchor distT="0" distB="0" distL="114300" distR="114300" simplePos="0" relativeHeight="251664384" behindDoc="0" locked="0" layoutInCell="1" allowOverlap="1" wp14:anchorId="1228C28A" wp14:editId="368A6B72">
                      <wp:simplePos x="0" y="0"/>
                      <wp:positionH relativeFrom="column">
                        <wp:posOffset>1035381</wp:posOffset>
                      </wp:positionH>
                      <wp:positionV relativeFrom="paragraph">
                        <wp:posOffset>51435</wp:posOffset>
                      </wp:positionV>
                      <wp:extent cx="2171700" cy="0"/>
                      <wp:effectExtent l="0" t="0" r="0" b="0"/>
                      <wp:wrapNone/>
                      <wp:docPr id="179889424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C2740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1.55pt,4.05pt" to="252.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" strokecolor="black [3200]" strokeweight=".5pt">
                      <v:stroke joinstyle="miter"/>
                    </v:line>
                  </w:pict>
                </mc:Fallback>
              </mc:AlternateContent>
            </w:r>
          </w:p>
        </w:tc>
      </w:tr>
      <w:tr w:rsidR="00BA13A5" w:rsidRPr="00F76233" w14:paraId="1E041CC1" w14:textId="77777777" w:rsidTr="001C66E3">
        <w:trPr>
          <w:jc w:val="center"/>
        </w:trPr>
        <w:tc>
          <w:tcPr>
            <w:tcW w:w="5698" w:type="dxa"/>
            <w:gridSpan w:val="2"/>
          </w:tcPr>
          <w:p w14:paraId="0BA1C914" w14:textId="77777777" w:rsidR="00BA13A5" w:rsidRPr="00F76233" w:rsidRDefault="00BA13A5">
            <w:pPr>
              <w:spacing w:after="120" w:line="240" w:lineRule="auto"/>
              <w:jc w:val="center"/>
              <w:rPr>
                <w:rFonts w:cs="Times New Roman"/>
                <w:szCs w:val="28"/>
              </w:rPr>
            </w:pPr>
          </w:p>
        </w:tc>
        <w:tc>
          <w:tcPr>
            <w:tcW w:w="2235" w:type="dxa"/>
          </w:tcPr>
          <w:p w14:paraId="6F865EC2" w14:textId="572A44E4" w:rsidR="00BA13A5" w:rsidRPr="00F76233" w:rsidRDefault="00BA13A5">
            <w:pPr>
              <w:spacing w:after="120" w:line="240" w:lineRule="auto"/>
              <w:jc w:val="center"/>
              <w:rPr>
                <w:rFonts w:cs="Times New Roman"/>
                <w:szCs w:val="28"/>
              </w:rPr>
            </w:pPr>
          </w:p>
        </w:tc>
        <w:tc>
          <w:tcPr>
            <w:tcW w:w="6865" w:type="dxa"/>
          </w:tcPr>
          <w:p w14:paraId="10EE38C2" w14:textId="2981DFDA" w:rsidR="00BA13A5" w:rsidRPr="00F76233" w:rsidRDefault="00BA13A5">
            <w:pPr>
              <w:spacing w:after="120" w:line="240" w:lineRule="auto"/>
              <w:jc w:val="center"/>
              <w:rPr>
                <w:rFonts w:cs="Times New Roman"/>
                <w:i/>
                <w:szCs w:val="28"/>
              </w:rPr>
            </w:pPr>
            <w:r w:rsidRPr="00F76233">
              <w:rPr>
                <w:rFonts w:cs="Times New Roman"/>
                <w:i/>
                <w:szCs w:val="28"/>
              </w:rPr>
              <w:t xml:space="preserve">Hà Nội, </w:t>
            </w:r>
            <w:r w:rsidR="005E7CC7" w:rsidRPr="00F76233">
              <w:rPr>
                <w:rFonts w:cs="Times New Roman"/>
                <w:i/>
                <w:szCs w:val="28"/>
              </w:rPr>
              <w:t xml:space="preserve">ngày </w:t>
            </w:r>
            <w:r w:rsidR="00100D2C">
              <w:rPr>
                <w:rFonts w:cs="Times New Roman"/>
                <w:i/>
                <w:szCs w:val="28"/>
              </w:rPr>
              <w:t xml:space="preserve">      </w:t>
            </w:r>
            <w:r w:rsidR="005E7CC7" w:rsidRPr="00F76233">
              <w:rPr>
                <w:rFonts w:cs="Times New Roman"/>
                <w:i/>
                <w:szCs w:val="28"/>
              </w:rPr>
              <w:t xml:space="preserve"> </w:t>
            </w:r>
            <w:r w:rsidRPr="00F76233">
              <w:rPr>
                <w:rFonts w:cs="Times New Roman"/>
                <w:i/>
                <w:szCs w:val="28"/>
              </w:rPr>
              <w:t xml:space="preserve">tháng </w:t>
            </w:r>
            <w:r w:rsidR="00100D2C">
              <w:rPr>
                <w:rFonts w:cs="Times New Roman"/>
                <w:i/>
                <w:szCs w:val="28"/>
              </w:rPr>
              <w:t xml:space="preserve">     </w:t>
            </w:r>
            <w:r w:rsidRPr="00F76233">
              <w:rPr>
                <w:rFonts w:cs="Times New Roman"/>
                <w:i/>
                <w:szCs w:val="28"/>
              </w:rPr>
              <w:t xml:space="preserve"> năm 202</w:t>
            </w:r>
            <w:r w:rsidR="00100D2C">
              <w:rPr>
                <w:rFonts w:cs="Times New Roman"/>
                <w:i/>
                <w:szCs w:val="28"/>
              </w:rPr>
              <w:t>6</w:t>
            </w:r>
          </w:p>
        </w:tc>
      </w:tr>
    </w:tbl>
    <w:p w14:paraId="769EB164" w14:textId="25C56399" w:rsidR="00F9521C" w:rsidRPr="00F76233" w:rsidRDefault="00025206" w:rsidP="00B12B85">
      <w:pPr>
        <w:spacing w:before="240" w:after="0" w:line="240" w:lineRule="auto"/>
        <w:jc w:val="center"/>
        <w:rPr>
          <w:rFonts w:cs="Times New Roman"/>
          <w:b/>
          <w:szCs w:val="28"/>
        </w:rPr>
      </w:pPr>
      <w:r w:rsidRPr="00025206">
        <w:rPr>
          <w:rFonts w:cs="Times New Roman"/>
          <w:b/>
          <w:szCs w:val="28"/>
        </w:rPr>
        <w:t>BẢN SO SÁNH, THUY</w:t>
      </w:r>
      <w:r w:rsidR="007F3732">
        <w:rPr>
          <w:rFonts w:cs="Times New Roman"/>
          <w:b/>
          <w:szCs w:val="28"/>
        </w:rPr>
        <w:t>Ế</w:t>
      </w:r>
      <w:r w:rsidRPr="00025206">
        <w:rPr>
          <w:rFonts w:cs="Times New Roman"/>
          <w:b/>
          <w:szCs w:val="28"/>
        </w:rPr>
        <w:t xml:space="preserve">T MINH DỰ THẢO </w:t>
      </w:r>
      <w:r>
        <w:rPr>
          <w:rFonts w:cs="Times New Roman"/>
          <w:b/>
          <w:szCs w:val="28"/>
        </w:rPr>
        <w:t xml:space="preserve">NGHỊ </w:t>
      </w:r>
      <w:r w:rsidR="00100D2C">
        <w:rPr>
          <w:rFonts w:cs="Times New Roman"/>
          <w:b/>
          <w:szCs w:val="28"/>
        </w:rPr>
        <w:t>ĐỊNH</w:t>
      </w:r>
      <w:r w:rsidRPr="00025206">
        <w:rPr>
          <w:rFonts w:cs="Times New Roman"/>
          <w:b/>
          <w:szCs w:val="28"/>
        </w:rPr>
        <w:t xml:space="preserve"> VỚI VĂN B</w:t>
      </w:r>
      <w:r>
        <w:rPr>
          <w:rFonts w:cs="Times New Roman"/>
          <w:b/>
          <w:szCs w:val="28"/>
        </w:rPr>
        <w:t>Ả</w:t>
      </w:r>
      <w:r w:rsidRPr="00025206">
        <w:rPr>
          <w:rFonts w:cs="Times New Roman"/>
          <w:b/>
          <w:szCs w:val="28"/>
        </w:rPr>
        <w:t>N QUY PHẠM PHÁP LUẬT HIỆN HÀNH</w:t>
      </w:r>
    </w:p>
    <w:p w14:paraId="410832C1" w14:textId="77777777" w:rsidR="00F9521C" w:rsidRPr="00F76233" w:rsidRDefault="001860EB">
      <w:pPr>
        <w:spacing w:after="0" w:line="240" w:lineRule="auto"/>
        <w:jc w:val="center"/>
        <w:rPr>
          <w:rFonts w:cs="Times New Roman"/>
          <w:b/>
          <w:szCs w:val="28"/>
        </w:rPr>
      </w:pPr>
      <w:r w:rsidRPr="00F76233">
        <w:rPr>
          <w:rFonts w:cs="Times New Roman"/>
          <w:noProof/>
        </w:rPr>
        <mc:AlternateContent>
          <mc:Choice Requires="wps">
            <w:drawing>
              <wp:anchor distT="0" distB="0" distL="114300" distR="114300" simplePos="0" relativeHeight="251659264" behindDoc="0" locked="0" layoutInCell="1" allowOverlap="1" wp14:anchorId="048842F5" wp14:editId="2AD31C66">
                <wp:simplePos x="0" y="0"/>
                <wp:positionH relativeFrom="margin">
                  <wp:posOffset>3974134</wp:posOffset>
                </wp:positionH>
                <wp:positionV relativeFrom="paragraph">
                  <wp:posOffset>95250</wp:posOffset>
                </wp:positionV>
                <wp:extent cx="981075" cy="0"/>
                <wp:effectExtent l="0" t="0" r="0" b="0"/>
                <wp:wrapNone/>
                <wp:docPr id="1969983955"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FEB799"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12.9pt,7.5pt" to="39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" strokecolor="black [3200]" strokeweight=".5pt">
                <v:stroke joinstyle="miter"/>
                <w10:wrap anchorx="margin"/>
              </v:line>
            </w:pict>
          </mc:Fallback>
        </mc:AlternateContent>
      </w:r>
    </w:p>
    <w:bookmarkEnd w:id="0"/>
    <w:p w14:paraId="7E9F1180" w14:textId="77777777" w:rsidR="00F9521C" w:rsidRPr="00F76233" w:rsidRDefault="00F9521C">
      <w:pPr>
        <w:spacing w:after="0"/>
        <w:jc w:val="center"/>
        <w:rPr>
          <w:rFonts w:cs="Times New Roman"/>
          <w:i/>
          <w:lang w:val="eu-ES"/>
        </w:rPr>
      </w:pPr>
    </w:p>
    <w:tbl>
      <w:tblPr>
        <w:tblStyle w:val="TableGrid"/>
        <w:tblW w:w="14454" w:type="dxa"/>
        <w:jc w:val="center"/>
        <w:tblLook w:val="04A0" w:firstRow="1" w:lastRow="0" w:firstColumn="1" w:lastColumn="0" w:noHBand="0" w:noVBand="1"/>
      </w:tblPr>
      <w:tblGrid>
        <w:gridCol w:w="672"/>
        <w:gridCol w:w="3718"/>
        <w:gridCol w:w="6237"/>
        <w:gridCol w:w="3827"/>
      </w:tblGrid>
      <w:tr w:rsidR="002C29A1" w:rsidRPr="00A22F97" w14:paraId="652C3511" w14:textId="77777777" w:rsidTr="001C66E3">
        <w:trPr>
          <w:tblHeader/>
          <w:jc w:val="center"/>
        </w:trPr>
        <w:tc>
          <w:tcPr>
            <w:tcW w:w="672" w:type="dxa"/>
            <w:vAlign w:val="center"/>
          </w:tcPr>
          <w:p w14:paraId="376F5D20" w14:textId="77777777" w:rsidR="002D6954" w:rsidRPr="00A22F97" w:rsidRDefault="002D6954" w:rsidP="00AD7491">
            <w:pPr>
              <w:spacing w:after="0" w:line="264" w:lineRule="auto"/>
              <w:jc w:val="center"/>
              <w:rPr>
                <w:rFonts w:cs="Times New Roman"/>
                <w:b/>
                <w:sz w:val="24"/>
                <w:szCs w:val="24"/>
              </w:rPr>
            </w:pPr>
            <w:r w:rsidRPr="00A22F97">
              <w:rPr>
                <w:rFonts w:cs="Times New Roman"/>
                <w:b/>
                <w:sz w:val="24"/>
                <w:szCs w:val="24"/>
              </w:rPr>
              <w:t>STT</w:t>
            </w:r>
          </w:p>
        </w:tc>
        <w:tc>
          <w:tcPr>
            <w:tcW w:w="3718" w:type="dxa"/>
            <w:vAlign w:val="center"/>
          </w:tcPr>
          <w:p w14:paraId="31830CDE" w14:textId="4A7CCF6F" w:rsidR="002D6954" w:rsidRPr="00A22F97" w:rsidRDefault="00137E7E" w:rsidP="00AD7491">
            <w:pPr>
              <w:spacing w:after="0" w:line="264" w:lineRule="auto"/>
              <w:jc w:val="center"/>
              <w:rPr>
                <w:rFonts w:cs="Times New Roman"/>
                <w:b/>
                <w:sz w:val="24"/>
                <w:szCs w:val="24"/>
              </w:rPr>
            </w:pPr>
            <w:r w:rsidRPr="00A22F97">
              <w:rPr>
                <w:rFonts w:cs="Times New Roman"/>
                <w:b/>
                <w:sz w:val="24"/>
                <w:szCs w:val="24"/>
              </w:rPr>
              <w:t>QUY PHẠM PHÁP LUẬT HIỆN HÀNH</w:t>
            </w:r>
          </w:p>
        </w:tc>
        <w:tc>
          <w:tcPr>
            <w:tcW w:w="6237" w:type="dxa"/>
            <w:vAlign w:val="center"/>
          </w:tcPr>
          <w:p w14:paraId="77FD67FB" w14:textId="545B9907" w:rsidR="002D6954" w:rsidRPr="00A22F97" w:rsidRDefault="002D6954" w:rsidP="00AD7491">
            <w:pPr>
              <w:spacing w:after="0" w:line="264" w:lineRule="auto"/>
              <w:jc w:val="center"/>
              <w:rPr>
                <w:rFonts w:cs="Times New Roman"/>
                <w:b/>
                <w:sz w:val="24"/>
                <w:szCs w:val="24"/>
              </w:rPr>
            </w:pPr>
            <w:r w:rsidRPr="00A22F97">
              <w:rPr>
                <w:rFonts w:cs="Times New Roman"/>
                <w:b/>
                <w:sz w:val="24"/>
                <w:szCs w:val="24"/>
              </w:rPr>
              <w:t xml:space="preserve">DỰ THẢO NGHỊ </w:t>
            </w:r>
            <w:r w:rsidR="008640A2">
              <w:rPr>
                <w:rFonts w:cs="Times New Roman"/>
                <w:b/>
                <w:sz w:val="24"/>
                <w:szCs w:val="24"/>
              </w:rPr>
              <w:t>ĐỊNH</w:t>
            </w:r>
          </w:p>
        </w:tc>
        <w:tc>
          <w:tcPr>
            <w:tcW w:w="3827" w:type="dxa"/>
            <w:vAlign w:val="center"/>
          </w:tcPr>
          <w:p w14:paraId="0B916DC1" w14:textId="4385FADB" w:rsidR="002D6954" w:rsidRPr="00A22F97" w:rsidRDefault="002D6954" w:rsidP="00AD7491">
            <w:pPr>
              <w:spacing w:after="0" w:line="264" w:lineRule="auto"/>
              <w:jc w:val="center"/>
              <w:rPr>
                <w:rFonts w:cs="Times New Roman"/>
                <w:b/>
                <w:sz w:val="24"/>
                <w:szCs w:val="24"/>
              </w:rPr>
            </w:pPr>
            <w:r w:rsidRPr="00A22F97">
              <w:rPr>
                <w:rFonts w:cs="Times New Roman"/>
                <w:b/>
                <w:sz w:val="24"/>
                <w:szCs w:val="24"/>
              </w:rPr>
              <w:t>THUYẾT MINH</w:t>
            </w:r>
          </w:p>
        </w:tc>
      </w:tr>
      <w:tr w:rsidR="002C29A1" w:rsidRPr="00A22F97" w14:paraId="6043C820" w14:textId="77777777" w:rsidTr="00AD7491">
        <w:trPr>
          <w:jc w:val="center"/>
        </w:trPr>
        <w:tc>
          <w:tcPr>
            <w:tcW w:w="672" w:type="dxa"/>
            <w:vAlign w:val="center"/>
          </w:tcPr>
          <w:p w14:paraId="6BFCB09A" w14:textId="77777777" w:rsidR="002D6954" w:rsidRPr="00A22F97" w:rsidRDefault="002D6954" w:rsidP="00AD7491">
            <w:pPr>
              <w:spacing w:after="0" w:line="264" w:lineRule="auto"/>
              <w:jc w:val="center"/>
              <w:rPr>
                <w:rFonts w:cs="Times New Roman"/>
                <w:b/>
                <w:sz w:val="24"/>
                <w:szCs w:val="24"/>
              </w:rPr>
            </w:pPr>
            <w:r w:rsidRPr="00A22F97">
              <w:rPr>
                <w:rFonts w:cs="Times New Roman"/>
                <w:b/>
                <w:sz w:val="24"/>
                <w:szCs w:val="24"/>
              </w:rPr>
              <w:t>I</w:t>
            </w:r>
          </w:p>
        </w:tc>
        <w:tc>
          <w:tcPr>
            <w:tcW w:w="3718" w:type="dxa"/>
          </w:tcPr>
          <w:p w14:paraId="79B2952A" w14:textId="77777777" w:rsidR="002D6954" w:rsidRPr="00A22F97" w:rsidRDefault="002D6954" w:rsidP="00AD7491">
            <w:pPr>
              <w:spacing w:after="0" w:line="264" w:lineRule="auto"/>
              <w:jc w:val="center"/>
              <w:rPr>
                <w:rFonts w:cs="Times New Roman"/>
                <w:sz w:val="24"/>
                <w:szCs w:val="24"/>
              </w:rPr>
            </w:pPr>
          </w:p>
        </w:tc>
        <w:tc>
          <w:tcPr>
            <w:tcW w:w="6237" w:type="dxa"/>
          </w:tcPr>
          <w:p w14:paraId="24A52617" w14:textId="3D63EDD8" w:rsidR="002D6954" w:rsidRPr="00A22F97" w:rsidRDefault="00763D75" w:rsidP="00AD7491">
            <w:pPr>
              <w:spacing w:after="0" w:line="264" w:lineRule="auto"/>
              <w:jc w:val="both"/>
              <w:rPr>
                <w:rFonts w:cs="Times New Roman"/>
                <w:sz w:val="24"/>
                <w:szCs w:val="24"/>
              </w:rPr>
            </w:pPr>
            <w:r w:rsidRPr="00A22F97">
              <w:rPr>
                <w:rFonts w:cs="Times New Roman"/>
                <w:b/>
                <w:sz w:val="24"/>
                <w:szCs w:val="24"/>
              </w:rPr>
              <w:t>Q</w:t>
            </w:r>
            <w:r w:rsidR="002D6954" w:rsidRPr="00A22F97">
              <w:rPr>
                <w:rFonts w:cs="Times New Roman"/>
                <w:b/>
                <w:sz w:val="24"/>
                <w:szCs w:val="24"/>
              </w:rPr>
              <w:t>uy định chung</w:t>
            </w:r>
          </w:p>
        </w:tc>
        <w:tc>
          <w:tcPr>
            <w:tcW w:w="3827" w:type="dxa"/>
          </w:tcPr>
          <w:p w14:paraId="5311785F" w14:textId="4F8B0E01" w:rsidR="002D6954" w:rsidRPr="00A22F97" w:rsidRDefault="002D6954" w:rsidP="00AD7491">
            <w:pPr>
              <w:spacing w:after="0" w:line="264" w:lineRule="auto"/>
              <w:jc w:val="center"/>
              <w:rPr>
                <w:rFonts w:cs="Times New Roman"/>
                <w:sz w:val="24"/>
                <w:szCs w:val="24"/>
              </w:rPr>
            </w:pPr>
          </w:p>
        </w:tc>
      </w:tr>
      <w:tr w:rsidR="002C29A1" w:rsidRPr="00A22F97" w14:paraId="572275AE" w14:textId="77777777" w:rsidTr="001C66E3">
        <w:trPr>
          <w:jc w:val="center"/>
        </w:trPr>
        <w:tc>
          <w:tcPr>
            <w:tcW w:w="672" w:type="dxa"/>
          </w:tcPr>
          <w:p w14:paraId="236157E2" w14:textId="29633798" w:rsidR="002D6954" w:rsidRPr="00A22F97" w:rsidRDefault="002D6954" w:rsidP="00AD7491">
            <w:pPr>
              <w:spacing w:after="0" w:line="264" w:lineRule="auto"/>
              <w:jc w:val="center"/>
              <w:rPr>
                <w:rFonts w:cs="Times New Roman"/>
                <w:sz w:val="24"/>
                <w:szCs w:val="24"/>
              </w:rPr>
            </w:pPr>
          </w:p>
        </w:tc>
        <w:tc>
          <w:tcPr>
            <w:tcW w:w="3718" w:type="dxa"/>
          </w:tcPr>
          <w:p w14:paraId="54A45E37" w14:textId="2C002EC1" w:rsidR="002D6954" w:rsidRPr="00A22F97" w:rsidRDefault="002D6954" w:rsidP="00AD7491">
            <w:pPr>
              <w:spacing w:after="0" w:line="264" w:lineRule="auto"/>
              <w:ind w:firstLine="179"/>
              <w:jc w:val="both"/>
              <w:rPr>
                <w:rFonts w:cs="Times New Roman"/>
                <w:sz w:val="24"/>
                <w:szCs w:val="24"/>
              </w:rPr>
            </w:pPr>
          </w:p>
        </w:tc>
        <w:tc>
          <w:tcPr>
            <w:tcW w:w="6237" w:type="dxa"/>
          </w:tcPr>
          <w:p w14:paraId="63F31085" w14:textId="687E2239" w:rsidR="002D6954" w:rsidRPr="00A22F97" w:rsidRDefault="00763D75" w:rsidP="00AD7491">
            <w:pPr>
              <w:spacing w:after="0" w:line="264" w:lineRule="auto"/>
              <w:rPr>
                <w:rFonts w:cs="Times New Roman"/>
                <w:b/>
                <w:bCs/>
                <w:sz w:val="24"/>
                <w:szCs w:val="24"/>
              </w:rPr>
            </w:pPr>
            <w:r w:rsidRPr="00A22F97">
              <w:rPr>
                <w:rFonts w:cs="Times New Roman"/>
                <w:b/>
                <w:bCs/>
                <w:sz w:val="24"/>
                <w:szCs w:val="24"/>
                <w:lang w:val="vi-VN"/>
              </w:rPr>
              <w:t>Điều 1. Phạm vi điều chỉnh</w:t>
            </w:r>
          </w:p>
        </w:tc>
        <w:tc>
          <w:tcPr>
            <w:tcW w:w="3827" w:type="dxa"/>
          </w:tcPr>
          <w:p w14:paraId="04A2083B" w14:textId="6EB2FF25" w:rsidR="002D6954" w:rsidRPr="00A22F97" w:rsidRDefault="002D6954" w:rsidP="00AD7491">
            <w:pPr>
              <w:spacing w:after="0" w:line="264" w:lineRule="auto"/>
              <w:ind w:firstLine="184"/>
              <w:jc w:val="both"/>
              <w:rPr>
                <w:rFonts w:cs="Times New Roman"/>
                <w:sz w:val="24"/>
                <w:szCs w:val="24"/>
              </w:rPr>
            </w:pPr>
          </w:p>
        </w:tc>
      </w:tr>
      <w:tr w:rsidR="002C29A1" w:rsidRPr="00A22F97" w14:paraId="4AD91084" w14:textId="77777777" w:rsidTr="001C66E3">
        <w:trPr>
          <w:jc w:val="center"/>
        </w:trPr>
        <w:tc>
          <w:tcPr>
            <w:tcW w:w="672" w:type="dxa"/>
          </w:tcPr>
          <w:p w14:paraId="19E82D0B" w14:textId="77777777" w:rsidR="00763D75" w:rsidRPr="00A22F97" w:rsidRDefault="00763D75" w:rsidP="00AD7491">
            <w:pPr>
              <w:spacing w:after="0" w:line="264" w:lineRule="auto"/>
              <w:jc w:val="center"/>
              <w:rPr>
                <w:rFonts w:cs="Times New Roman"/>
                <w:sz w:val="24"/>
                <w:szCs w:val="24"/>
              </w:rPr>
            </w:pPr>
          </w:p>
        </w:tc>
        <w:tc>
          <w:tcPr>
            <w:tcW w:w="3718" w:type="dxa"/>
          </w:tcPr>
          <w:p w14:paraId="7B14CA5F" w14:textId="77777777" w:rsidR="00763D75" w:rsidRPr="00A22F97" w:rsidRDefault="00763D75" w:rsidP="00AD7491">
            <w:pPr>
              <w:spacing w:after="0" w:line="264" w:lineRule="auto"/>
              <w:ind w:firstLine="179"/>
              <w:jc w:val="both"/>
              <w:rPr>
                <w:rFonts w:cs="Times New Roman"/>
                <w:sz w:val="24"/>
                <w:szCs w:val="24"/>
              </w:rPr>
            </w:pPr>
          </w:p>
        </w:tc>
        <w:tc>
          <w:tcPr>
            <w:tcW w:w="6237" w:type="dxa"/>
          </w:tcPr>
          <w:p w14:paraId="67A4945F" w14:textId="4DB4C1C4" w:rsidR="00763D75" w:rsidRPr="00A22F97" w:rsidRDefault="00763D75" w:rsidP="00AD7491">
            <w:pPr>
              <w:spacing w:after="0" w:line="264" w:lineRule="auto"/>
              <w:jc w:val="both"/>
              <w:rPr>
                <w:rFonts w:cs="Times New Roman"/>
                <w:b/>
                <w:bCs/>
                <w:sz w:val="24"/>
                <w:szCs w:val="24"/>
              </w:rPr>
            </w:pPr>
            <w:r w:rsidRPr="00A22F97">
              <w:rPr>
                <w:rFonts w:cs="Times New Roman"/>
                <w:b/>
                <w:bCs/>
                <w:sz w:val="24"/>
                <w:szCs w:val="24"/>
                <w:lang w:val="vi-VN"/>
              </w:rPr>
              <w:t>Điều 2. Đối tượng áp dụng</w:t>
            </w:r>
          </w:p>
        </w:tc>
        <w:tc>
          <w:tcPr>
            <w:tcW w:w="3827" w:type="dxa"/>
          </w:tcPr>
          <w:p w14:paraId="2FDCF613" w14:textId="77777777" w:rsidR="00763D75" w:rsidRPr="00A22F97" w:rsidRDefault="00763D75" w:rsidP="00AD7491">
            <w:pPr>
              <w:spacing w:after="0" w:line="264" w:lineRule="auto"/>
              <w:ind w:firstLine="184"/>
              <w:jc w:val="both"/>
              <w:rPr>
                <w:rFonts w:cs="Times New Roman"/>
                <w:sz w:val="24"/>
                <w:szCs w:val="24"/>
              </w:rPr>
            </w:pPr>
          </w:p>
        </w:tc>
      </w:tr>
      <w:tr w:rsidR="002C29A1" w:rsidRPr="00A22F97" w14:paraId="6488C76F" w14:textId="77777777" w:rsidTr="001C66E3">
        <w:trPr>
          <w:jc w:val="center"/>
        </w:trPr>
        <w:tc>
          <w:tcPr>
            <w:tcW w:w="672" w:type="dxa"/>
          </w:tcPr>
          <w:p w14:paraId="549A56B7" w14:textId="54554E56" w:rsidR="002D6954" w:rsidRPr="00A22F97" w:rsidRDefault="002D6954" w:rsidP="00AD7491">
            <w:pPr>
              <w:spacing w:after="0" w:line="264" w:lineRule="auto"/>
              <w:ind w:left="30"/>
              <w:jc w:val="center"/>
              <w:rPr>
                <w:rFonts w:cs="Times New Roman"/>
                <w:sz w:val="24"/>
                <w:szCs w:val="24"/>
              </w:rPr>
            </w:pPr>
          </w:p>
        </w:tc>
        <w:tc>
          <w:tcPr>
            <w:tcW w:w="3718" w:type="dxa"/>
          </w:tcPr>
          <w:p w14:paraId="315E5402" w14:textId="77777777" w:rsidR="00E44528" w:rsidRPr="00E44528" w:rsidRDefault="00E44528" w:rsidP="00E44528">
            <w:pPr>
              <w:spacing w:after="0" w:line="264" w:lineRule="auto"/>
              <w:jc w:val="both"/>
              <w:rPr>
                <w:rFonts w:cs="Times New Roman"/>
                <w:color w:val="FF0000"/>
                <w:sz w:val="24"/>
                <w:szCs w:val="24"/>
                <w:shd w:val="clear" w:color="auto" w:fill="FFFFFF"/>
                <w:lang w:val="vi-VN"/>
              </w:rPr>
            </w:pPr>
            <w:r w:rsidRPr="00E44528">
              <w:rPr>
                <w:rFonts w:cs="Times New Roman"/>
                <w:color w:val="FF0000"/>
                <w:sz w:val="24"/>
                <w:szCs w:val="24"/>
                <w:shd w:val="clear" w:color="auto" w:fill="FFFFFF"/>
                <w:lang w:val="vi-VN"/>
              </w:rPr>
              <w:t>1. Luật Quy hoạch số 21/2017/QH14 (đã được sửa đổi, bổ sung; trong đó có Luật số 57/2024/QH15 ngày 29/11/2024): Điều 51, Điều 52, Điều 53, Điều 54 quy định về điều chỉnh quy hoạch (bao gồm quy hoạch tỉnh): căn cứ/điều kiện điều chỉnh; thẩm quyền; hồ sơ; trình tự, thủ tục.</w:t>
            </w:r>
          </w:p>
          <w:p w14:paraId="0AC98F4C" w14:textId="77777777" w:rsidR="00E44528" w:rsidRPr="00E44528" w:rsidRDefault="00E44528" w:rsidP="00E44528">
            <w:pPr>
              <w:spacing w:after="0" w:line="264" w:lineRule="auto"/>
              <w:jc w:val="both"/>
              <w:rPr>
                <w:rFonts w:cs="Times New Roman"/>
                <w:color w:val="FF0000"/>
                <w:sz w:val="24"/>
                <w:szCs w:val="24"/>
                <w:shd w:val="clear" w:color="auto" w:fill="FFFFFF"/>
                <w:lang w:val="vi-VN"/>
              </w:rPr>
            </w:pPr>
            <w:r w:rsidRPr="00E44528">
              <w:rPr>
                <w:rFonts w:cs="Times New Roman"/>
                <w:color w:val="FF0000"/>
                <w:sz w:val="24"/>
                <w:szCs w:val="24"/>
                <w:shd w:val="clear" w:color="auto" w:fill="FFFFFF"/>
                <w:lang w:val="vi-VN"/>
              </w:rPr>
              <w:t xml:space="preserve">2. Nghị định số 37/2019/NĐ-CP ngày 07/5/2019 của Chính phủ quy định chi tiết thi hành một số điều của Luật Quy hoạch (đã được sửa đổi, bổ sung bởi Nghị định số 58/2023/NĐ-CP ngày 12/8/2023; Nghị định số 22/2025/NĐ-CP ngày 11/02/2025): Quy định chi tiết một số nội dung về lập, thẩm định, phê duyệt, công bố, </w:t>
            </w:r>
            <w:r w:rsidRPr="00E44528">
              <w:rPr>
                <w:rFonts w:cs="Times New Roman"/>
                <w:color w:val="FF0000"/>
                <w:sz w:val="24"/>
                <w:szCs w:val="24"/>
                <w:shd w:val="clear" w:color="auto" w:fill="FFFFFF"/>
                <w:lang w:val="vi-VN"/>
              </w:rPr>
              <w:lastRenderedPageBreak/>
              <w:t>đánh giá thực hiện quy hoạch; trong đó Điều 6 quy định việc đánh giá thực hiện quy hoạch làm căn cứ xem xét, quyết định/phê duyệt điều chỉnh quy hoạch.</w:t>
            </w:r>
          </w:p>
          <w:p w14:paraId="718AFD6B" w14:textId="77777777" w:rsidR="00E44528" w:rsidRPr="00E44528" w:rsidRDefault="00E44528" w:rsidP="00E44528">
            <w:pPr>
              <w:spacing w:after="0" w:line="264" w:lineRule="auto"/>
              <w:jc w:val="both"/>
              <w:rPr>
                <w:rFonts w:cs="Times New Roman"/>
                <w:color w:val="FF0000"/>
                <w:sz w:val="24"/>
                <w:szCs w:val="24"/>
                <w:shd w:val="clear" w:color="auto" w:fill="FFFFFF"/>
                <w:lang w:val="vi-VN"/>
              </w:rPr>
            </w:pPr>
            <w:r w:rsidRPr="00E44528">
              <w:rPr>
                <w:rFonts w:cs="Times New Roman"/>
                <w:color w:val="FF0000"/>
                <w:sz w:val="24"/>
                <w:szCs w:val="24"/>
                <w:shd w:val="clear" w:color="auto" w:fill="FFFFFF"/>
                <w:lang w:val="vi-VN"/>
              </w:rPr>
              <w:t>3. Luật Điện lực năm 2024 và Nghị định số 56/2025/NĐ-CP ngày 03/3/2025 (được sửa đổi, bổ sung bởi Nghị định số 100/2025/NĐ-CP ngày 08/5/2025):  Quy định khung về quy hoạch phát triển điện lực, phương án phát triển mạng lưới cấp điện trong quy hoạch tỉnh và một số nội dung có liên quan.</w:t>
            </w:r>
          </w:p>
          <w:p w14:paraId="4A5FCEB3" w14:textId="2FC18110" w:rsidR="00E44528" w:rsidRPr="00E44528" w:rsidRDefault="00E44528" w:rsidP="00E44528">
            <w:pPr>
              <w:spacing w:after="0" w:line="264" w:lineRule="auto"/>
              <w:jc w:val="both"/>
              <w:rPr>
                <w:rFonts w:cs="Times New Roman"/>
                <w:color w:val="FF0000"/>
                <w:sz w:val="24"/>
                <w:szCs w:val="24"/>
                <w:shd w:val="clear" w:color="auto" w:fill="FFFFFF"/>
                <w:lang w:val="vi-VN"/>
              </w:rPr>
            </w:pPr>
            <w:r w:rsidRPr="00E44528">
              <w:rPr>
                <w:rFonts w:cs="Times New Roman"/>
                <w:color w:val="FF0000"/>
                <w:sz w:val="24"/>
                <w:szCs w:val="24"/>
                <w:shd w:val="clear" w:color="auto" w:fill="FFFFFF"/>
                <w:lang w:val="vi-VN"/>
              </w:rPr>
              <w:t>4. Nghị quyết số 253/2025/QH15 của Quốc hội: Quy định cơ chế, chính sách về điều chỉnh/cập nhật quy hoạch phát triển điện lực và điều chỉnh/cập nhật phương án phát triển mạng lưới cấp điện trong quy hoạch tỉnh; giao Chính phủ ban hành văn bản quy định chi tiết, hướng dẫn thi hành theo trình tự, thủ tục rút gọn.</w:t>
            </w:r>
          </w:p>
          <w:p w14:paraId="6F79E29C" w14:textId="58898BB5" w:rsidR="002D6954" w:rsidRPr="00E44528" w:rsidRDefault="00E44528" w:rsidP="00E44528">
            <w:pPr>
              <w:spacing w:after="0" w:line="264" w:lineRule="auto"/>
              <w:jc w:val="both"/>
              <w:rPr>
                <w:rFonts w:cs="Times New Roman"/>
                <w:color w:val="FF0000"/>
                <w:sz w:val="24"/>
                <w:szCs w:val="24"/>
                <w:shd w:val="clear" w:color="auto" w:fill="FFFFFF"/>
                <w:lang w:val="vi-VN"/>
              </w:rPr>
            </w:pPr>
            <w:r w:rsidRPr="00E44528">
              <w:rPr>
                <w:rFonts w:cs="Times New Roman"/>
                <w:color w:val="FF0000"/>
                <w:sz w:val="24"/>
                <w:szCs w:val="24"/>
                <w:shd w:val="clear" w:color="auto" w:fill="FFFFFF"/>
                <w:lang w:val="vi-VN"/>
              </w:rPr>
              <w:t xml:space="preserve">Quy định hiện hành (trước khi ban hành Nghị định hướng dẫn Nghị quyết số 253/2025/QH15) chưa có hướng dẫn thống nhất, cụ thể theo cơ chế đặc thù về: (i) tiêu chí nhận diện “điều chỉnh/cập nhật” trong điện lực; </w:t>
            </w:r>
            <w:r w:rsidRPr="00E44528">
              <w:rPr>
                <w:rFonts w:cs="Times New Roman"/>
                <w:color w:val="FF0000"/>
                <w:sz w:val="24"/>
                <w:szCs w:val="24"/>
                <w:shd w:val="clear" w:color="auto" w:fill="FFFFFF"/>
                <w:lang w:val="vi-VN"/>
              </w:rPr>
              <w:lastRenderedPageBreak/>
              <w:t>(ii) hồ sơ, trình tự, trách nhiệm phối hợp thẩm định/phê duyệt; (iii) cơ chế phối hợp với quy trình điều chỉnh Quy hoạch tỉnh theo Luật Quy hoạch để bảo đảm đồng bộ, khả thi khi triển khai dự án.</w:t>
            </w:r>
          </w:p>
        </w:tc>
        <w:tc>
          <w:tcPr>
            <w:tcW w:w="6237" w:type="dxa"/>
          </w:tcPr>
          <w:p w14:paraId="6D9BB0A7" w14:textId="77777777" w:rsidR="00823DD0" w:rsidRPr="00823DD0" w:rsidRDefault="00823DD0" w:rsidP="00823DD0">
            <w:pPr>
              <w:spacing w:after="0" w:line="264" w:lineRule="auto"/>
              <w:jc w:val="both"/>
              <w:rPr>
                <w:b/>
                <w:sz w:val="24"/>
                <w:szCs w:val="24"/>
              </w:rPr>
            </w:pPr>
            <w:r w:rsidRPr="00823DD0">
              <w:rPr>
                <w:b/>
                <w:sz w:val="24"/>
                <w:szCs w:val="24"/>
              </w:rPr>
              <w:lastRenderedPageBreak/>
              <w:t xml:space="preserve">Điều 3. Nội dung và thành phần hồ sơ đề nghị điều chỉnh cập nhật quy hoạch </w:t>
            </w:r>
          </w:p>
          <w:p w14:paraId="08D4D83A" w14:textId="77777777" w:rsidR="00823DD0" w:rsidRPr="00823DD0" w:rsidRDefault="00823DD0" w:rsidP="00823DD0">
            <w:pPr>
              <w:spacing w:after="0" w:line="264" w:lineRule="auto"/>
              <w:jc w:val="both"/>
              <w:rPr>
                <w:sz w:val="24"/>
                <w:szCs w:val="24"/>
              </w:rPr>
            </w:pPr>
            <w:r w:rsidRPr="00823DD0">
              <w:rPr>
                <w:sz w:val="24"/>
                <w:szCs w:val="24"/>
              </w:rPr>
              <w:t>1. Hồ sơ điều chỉnh cập nhật quy hoạch phát triển điện lực, phương án phát triển mạng lưới cấp điện trong quy hoạch tỉnh bao gồm những nội dung chính sau:</w:t>
            </w:r>
          </w:p>
          <w:p w14:paraId="6877EFBA" w14:textId="77777777" w:rsidR="00823DD0" w:rsidRPr="00823DD0" w:rsidRDefault="00823DD0" w:rsidP="00823DD0">
            <w:pPr>
              <w:spacing w:after="0" w:line="264" w:lineRule="auto"/>
              <w:jc w:val="both"/>
              <w:rPr>
                <w:sz w:val="24"/>
                <w:szCs w:val="24"/>
              </w:rPr>
            </w:pPr>
            <w:r w:rsidRPr="00823DD0">
              <w:rPr>
                <w:sz w:val="24"/>
                <w:szCs w:val="24"/>
              </w:rPr>
              <w:t>a) Cơ sở pháp lý và sự cần thiết điều chỉnh cập nhật quy hoạch;</w:t>
            </w:r>
          </w:p>
          <w:p w14:paraId="5C34976C" w14:textId="77777777" w:rsidR="00823DD0" w:rsidRPr="00823DD0" w:rsidRDefault="00823DD0" w:rsidP="00823DD0">
            <w:pPr>
              <w:spacing w:after="0" w:line="264" w:lineRule="auto"/>
              <w:jc w:val="both"/>
              <w:rPr>
                <w:sz w:val="24"/>
                <w:szCs w:val="24"/>
              </w:rPr>
            </w:pPr>
            <w:r w:rsidRPr="00823DD0">
              <w:rPr>
                <w:sz w:val="24"/>
                <w:szCs w:val="24"/>
              </w:rPr>
              <w:t>b) Tình hình hiện trạng; quy mô, tiến độ và các thông số chính của dự án cần điều chỉnh cập nhật quy hoạch;</w:t>
            </w:r>
          </w:p>
          <w:p w14:paraId="68A1F6CE" w14:textId="77777777" w:rsidR="00823DD0" w:rsidRPr="00823DD0" w:rsidRDefault="00823DD0" w:rsidP="00823DD0">
            <w:pPr>
              <w:spacing w:after="0" w:line="264" w:lineRule="auto"/>
              <w:jc w:val="both"/>
              <w:rPr>
                <w:sz w:val="24"/>
                <w:szCs w:val="24"/>
              </w:rPr>
            </w:pPr>
            <w:r w:rsidRPr="00823DD0">
              <w:rPr>
                <w:sz w:val="24"/>
                <w:szCs w:val="24"/>
              </w:rPr>
              <w:t>c) Đánh giá ảnh hưởng của việc điều chỉnh cập nhật quy hoạch đối với cân đối cung - cầu, khả năng giải tỏa công suất và an toàn vận hành hệ thống điện khu vực;</w:t>
            </w:r>
          </w:p>
          <w:p w14:paraId="28861E3F" w14:textId="77777777" w:rsidR="00823DD0" w:rsidRPr="00823DD0" w:rsidRDefault="00823DD0" w:rsidP="00823DD0">
            <w:pPr>
              <w:spacing w:after="0" w:line="264" w:lineRule="auto"/>
              <w:jc w:val="both"/>
              <w:rPr>
                <w:sz w:val="24"/>
                <w:szCs w:val="24"/>
              </w:rPr>
            </w:pPr>
            <w:r w:rsidRPr="00823DD0">
              <w:rPr>
                <w:sz w:val="24"/>
                <w:szCs w:val="24"/>
              </w:rPr>
              <w:t>d) Các giải pháp đồng bộ về nguồn, lưới điện khu vực liên quan (nếu có) để bảo đảm cung cấp điện, giải tỏa công suất và vận hành an toàn, ổn định;</w:t>
            </w:r>
          </w:p>
          <w:p w14:paraId="3C430F75" w14:textId="77777777" w:rsidR="00823DD0" w:rsidRPr="00823DD0" w:rsidRDefault="00823DD0" w:rsidP="00823DD0">
            <w:pPr>
              <w:spacing w:after="0" w:line="264" w:lineRule="auto"/>
              <w:jc w:val="both"/>
              <w:rPr>
                <w:sz w:val="24"/>
                <w:szCs w:val="24"/>
              </w:rPr>
            </w:pPr>
            <w:r w:rsidRPr="00823DD0">
              <w:rPr>
                <w:sz w:val="24"/>
                <w:szCs w:val="24"/>
              </w:rPr>
              <w:t>đ) Đánh giá hiệu quả của việc điều chỉnh cập nhật quy hoạch;</w:t>
            </w:r>
          </w:p>
          <w:p w14:paraId="73B4DAA9" w14:textId="77777777" w:rsidR="00823DD0" w:rsidRPr="00823DD0" w:rsidRDefault="00823DD0" w:rsidP="00823DD0">
            <w:pPr>
              <w:spacing w:after="0" w:line="264" w:lineRule="auto"/>
              <w:jc w:val="both"/>
              <w:rPr>
                <w:sz w:val="24"/>
                <w:szCs w:val="24"/>
              </w:rPr>
            </w:pPr>
            <w:r w:rsidRPr="00823DD0">
              <w:rPr>
                <w:sz w:val="24"/>
                <w:szCs w:val="24"/>
              </w:rPr>
              <w:t>e) Kết luận và kiến nghị.</w:t>
            </w:r>
          </w:p>
          <w:p w14:paraId="7C357975" w14:textId="77777777" w:rsidR="00823DD0" w:rsidRPr="00823DD0" w:rsidRDefault="00823DD0" w:rsidP="00823DD0">
            <w:pPr>
              <w:spacing w:after="0" w:line="264" w:lineRule="auto"/>
              <w:jc w:val="both"/>
              <w:rPr>
                <w:sz w:val="24"/>
                <w:szCs w:val="24"/>
              </w:rPr>
            </w:pPr>
            <w:r w:rsidRPr="00823DD0">
              <w:rPr>
                <w:sz w:val="24"/>
                <w:szCs w:val="24"/>
              </w:rPr>
              <w:t xml:space="preserve">2. Thành phần hồ sơ đề nghị điều chỉnh cập nhật quy hoạch </w:t>
            </w:r>
          </w:p>
          <w:p w14:paraId="2A816548" w14:textId="77777777" w:rsidR="00823DD0" w:rsidRPr="00823DD0" w:rsidRDefault="00823DD0" w:rsidP="00823DD0">
            <w:pPr>
              <w:spacing w:after="0" w:line="264" w:lineRule="auto"/>
              <w:jc w:val="both"/>
              <w:rPr>
                <w:sz w:val="24"/>
                <w:szCs w:val="24"/>
              </w:rPr>
            </w:pPr>
            <w:r w:rsidRPr="00823DD0">
              <w:rPr>
                <w:sz w:val="24"/>
                <w:szCs w:val="24"/>
              </w:rPr>
              <w:lastRenderedPageBreak/>
              <w:t xml:space="preserve">a) Văn bản/tờ trình của cơ quan tổ chức lập quy hoạch hoặc cơ quan lập quy hoạch thuộc Ủy ban nhân cấp tỉnh về sự cần thiết điều chỉnh cập nhật quy hoạch. </w:t>
            </w:r>
          </w:p>
          <w:p w14:paraId="411744A9" w14:textId="77777777" w:rsidR="00823DD0" w:rsidRPr="00823DD0" w:rsidRDefault="00823DD0" w:rsidP="00823DD0">
            <w:pPr>
              <w:spacing w:after="0" w:line="264" w:lineRule="auto"/>
              <w:jc w:val="both"/>
              <w:rPr>
                <w:sz w:val="24"/>
                <w:szCs w:val="24"/>
              </w:rPr>
            </w:pPr>
            <w:r w:rsidRPr="00823DD0">
              <w:rPr>
                <w:sz w:val="24"/>
                <w:szCs w:val="24"/>
              </w:rPr>
              <w:t xml:space="preserve">b) 05 bộ báo cáo điều chỉnh cập nhật quy hoạch. </w:t>
            </w:r>
          </w:p>
          <w:p w14:paraId="34B1E881" w14:textId="77777777" w:rsidR="00823DD0" w:rsidRPr="00823DD0" w:rsidRDefault="00823DD0" w:rsidP="00823DD0">
            <w:pPr>
              <w:spacing w:after="0" w:line="264" w:lineRule="auto"/>
              <w:jc w:val="both"/>
              <w:rPr>
                <w:sz w:val="24"/>
                <w:szCs w:val="24"/>
              </w:rPr>
            </w:pPr>
            <w:r w:rsidRPr="00823DD0">
              <w:rPr>
                <w:sz w:val="24"/>
                <w:szCs w:val="24"/>
              </w:rPr>
              <w:t>c) Văn bản góp ý của Tổng công ty Điện lực miền hoặc Tổng công ty Truyền tải điện quốc gia và các Sở, ban ngành liên quan đối với nội dung điều chỉnh cập nhật quy hoạch.</w:t>
            </w:r>
          </w:p>
          <w:p w14:paraId="28315FED" w14:textId="77777777" w:rsidR="00823DD0" w:rsidRPr="00823DD0" w:rsidRDefault="00823DD0" w:rsidP="00823DD0">
            <w:pPr>
              <w:spacing w:after="0" w:line="264" w:lineRule="auto"/>
              <w:jc w:val="both"/>
              <w:rPr>
                <w:b/>
                <w:sz w:val="24"/>
                <w:szCs w:val="24"/>
              </w:rPr>
            </w:pPr>
            <w:r w:rsidRPr="00823DD0">
              <w:rPr>
                <w:b/>
                <w:sz w:val="24"/>
                <w:szCs w:val="24"/>
              </w:rPr>
              <w:t xml:space="preserve">Điều 4. Trình tự, thủ tục điều chỉnh cập nhật quy hoạch </w:t>
            </w:r>
          </w:p>
          <w:p w14:paraId="0939D062" w14:textId="77777777" w:rsidR="00823DD0" w:rsidRPr="00823DD0" w:rsidRDefault="00823DD0" w:rsidP="00823DD0">
            <w:pPr>
              <w:spacing w:after="0" w:line="264" w:lineRule="auto"/>
              <w:jc w:val="both"/>
              <w:rPr>
                <w:sz w:val="24"/>
                <w:szCs w:val="24"/>
              </w:rPr>
            </w:pPr>
            <w:r w:rsidRPr="00823DD0">
              <w:rPr>
                <w:sz w:val="24"/>
                <w:szCs w:val="24"/>
              </w:rPr>
              <w:t xml:space="preserve">1. Cơ quan tổ chức lập quy hoạch hoặc cơ quan lập quy hoạch thuộc Ủy ban nhân cấp tỉnh xây dựng hồ sơ điều chỉnh cập nhật quy hoạch trình cơ quan có thẩm quyền theo phân cấp được quy định tại khoản 4 Điều 4 Nghị quyết số 253/2025/QH15 để thẩm định. </w:t>
            </w:r>
          </w:p>
          <w:p w14:paraId="09FBE572" w14:textId="77777777" w:rsidR="00823DD0" w:rsidRPr="00823DD0" w:rsidRDefault="00823DD0" w:rsidP="00823DD0">
            <w:pPr>
              <w:spacing w:after="0" w:line="264" w:lineRule="auto"/>
              <w:jc w:val="both"/>
              <w:rPr>
                <w:sz w:val="24"/>
                <w:szCs w:val="24"/>
              </w:rPr>
            </w:pPr>
            <w:r w:rsidRPr="00823DD0">
              <w:rPr>
                <w:sz w:val="24"/>
                <w:szCs w:val="24"/>
              </w:rPr>
              <w:t>2. Trong thời hạn ba (03) ngày làm việc kể từ khi nhận hồ sơ, cơ quan chủ trì thẩm định phải có yêu cầu bổ sung nếu hồ sơ đề nghị điều chỉnh cập nhật quy hoạch chưa đầy đủ, hợp lệ.</w:t>
            </w:r>
          </w:p>
          <w:p w14:paraId="1F9DEF7A" w14:textId="77777777" w:rsidR="00823DD0" w:rsidRPr="00823DD0" w:rsidRDefault="00823DD0" w:rsidP="00823DD0">
            <w:pPr>
              <w:spacing w:after="0" w:line="264" w:lineRule="auto"/>
              <w:jc w:val="both"/>
              <w:rPr>
                <w:sz w:val="24"/>
                <w:szCs w:val="24"/>
              </w:rPr>
            </w:pPr>
            <w:r w:rsidRPr="00823DD0">
              <w:rPr>
                <w:sz w:val="24"/>
                <w:szCs w:val="24"/>
              </w:rPr>
              <w:t xml:space="preserve">3. Trong thời hạn mười lăm (15) ngày làm việc kể từ khi nhận đủ hồ sơ hợp lệ, cơ quan chủ trì tiến hành thẩm định hồ sơ đề nghị điều chỉnh cập nhật quy hoạch. </w:t>
            </w:r>
          </w:p>
          <w:p w14:paraId="08F8E37B" w14:textId="77777777" w:rsidR="00823DD0" w:rsidRPr="00823DD0" w:rsidRDefault="00823DD0" w:rsidP="00823DD0">
            <w:pPr>
              <w:spacing w:after="0" w:line="264" w:lineRule="auto"/>
              <w:jc w:val="both"/>
              <w:rPr>
                <w:sz w:val="24"/>
                <w:szCs w:val="24"/>
              </w:rPr>
            </w:pPr>
            <w:r w:rsidRPr="00823DD0">
              <w:rPr>
                <w:sz w:val="24"/>
                <w:szCs w:val="24"/>
              </w:rPr>
              <w:t>4. Trong quá trình thẩm định, cơ quan chủ trì thẩm định gửi xin ý kiến bằng văn bản tới một số bộ liên quan (nếu cần thiết) và một số Tập đoàn, Tổng công ty có liên quan. Sau thời hạn năm (05) ngày làm việc kể khi nhận được văn bản đề nghị góp ý của cơ quan chủ trì thẩm định, các bộ, ngành và đơn vị có liên quan được lấy ý kiến phải có văn bản trả lời. Sau thời hạn trên, trường hợp các bộ, ngành và đơn vị không có văn bản trả lời, coi như thống nhất với hồ sơ điều chỉnh cập nhật quy hoạch.</w:t>
            </w:r>
          </w:p>
          <w:p w14:paraId="4F3B9616" w14:textId="77777777" w:rsidR="00823DD0" w:rsidRPr="00823DD0" w:rsidRDefault="00823DD0" w:rsidP="00823DD0">
            <w:pPr>
              <w:spacing w:after="0" w:line="264" w:lineRule="auto"/>
              <w:jc w:val="both"/>
              <w:rPr>
                <w:sz w:val="24"/>
                <w:szCs w:val="24"/>
              </w:rPr>
            </w:pPr>
            <w:r w:rsidRPr="00823DD0">
              <w:rPr>
                <w:sz w:val="24"/>
                <w:szCs w:val="24"/>
              </w:rPr>
              <w:t xml:space="preserve">5. Sau khi nhận được ý kiến chính thức bằng văn bản của các cơ quan, đơn vị có liên quan đối với hồ sơ đề nghị điều chỉnh </w:t>
            </w:r>
            <w:r w:rsidRPr="00823DD0">
              <w:rPr>
                <w:sz w:val="24"/>
                <w:szCs w:val="24"/>
              </w:rPr>
              <w:lastRenderedPageBreak/>
              <w:t>cập nhật quy hoạch, trong thời hạn ba (03) ngày làm việc, cơ quan chủ trì thẩm định có trách nhiệm ban hành văn bản yêu cầu cơ quan tổ chức lập quy hoạch hoặc cơ quan lập quy hoạch tiếp thu, giải trình và hoàn thiện hồ sơ điều chỉnh cập nhật quy hoạch, gửi văn bản kèm hồ sơ điều chỉnh cập nhật quy hoạch đã được hoàn thiện cho cơ quan chủ trì thẩm định.</w:t>
            </w:r>
          </w:p>
          <w:p w14:paraId="4B7BE445" w14:textId="3BF9B0DF" w:rsidR="002D6954" w:rsidRPr="00A22F97" w:rsidRDefault="00823DD0" w:rsidP="00823DD0">
            <w:pPr>
              <w:spacing w:after="0" w:line="264" w:lineRule="auto"/>
              <w:jc w:val="both"/>
              <w:rPr>
                <w:sz w:val="24"/>
                <w:szCs w:val="24"/>
              </w:rPr>
            </w:pPr>
            <w:r w:rsidRPr="00823DD0">
              <w:rPr>
                <w:sz w:val="24"/>
                <w:szCs w:val="24"/>
              </w:rPr>
              <w:t>6. Trong thời hạn bảy (07) ngày làm việc kể từ khi hồ sơ điều chỉnh cập nhật quy hoạch đã được bổ sung, hoàn chỉnh, cơ quan chủ trì thẩm định chịu trách nhiệm dự thảo báo cáo thẩm định để trình cấp có thẩm quyền quyết định hoặc phê duyệt điều chỉnh cập nhật quy hoạch, đồng thời gửi kết quả báo cáo các cơ quan theo quy định.</w:t>
            </w:r>
          </w:p>
        </w:tc>
        <w:tc>
          <w:tcPr>
            <w:tcW w:w="3827" w:type="dxa"/>
          </w:tcPr>
          <w:p w14:paraId="4CC41F85" w14:textId="77777777" w:rsidR="008C3CDA" w:rsidRPr="008C3CDA" w:rsidRDefault="008C3CDA" w:rsidP="008C3CDA">
            <w:pPr>
              <w:spacing w:after="0" w:line="264" w:lineRule="auto"/>
              <w:jc w:val="both"/>
              <w:rPr>
                <w:rFonts w:cs="Times New Roman"/>
                <w:sz w:val="24"/>
                <w:szCs w:val="24"/>
                <w:lang w:val="vi-VN"/>
              </w:rPr>
            </w:pPr>
            <w:r w:rsidRPr="008C3CDA">
              <w:rPr>
                <w:rFonts w:cs="Times New Roman"/>
                <w:sz w:val="24"/>
                <w:szCs w:val="24"/>
                <w:lang w:val="vi-VN"/>
              </w:rPr>
              <w:lastRenderedPageBreak/>
              <w:t>Pháp luật về quy hoạch (Luật Quy hoạch và các văn bản hướng dẫn) đã quy định khung về điều chỉnh quy hoạch và điều chỉnh Quy hoạch tỉnh. Tuy nhiên, cơ chế tại Nghị quyết số 253/2025/QH15 là cơ chế đặc thù trong lĩnh vực điện lực, với yêu cầu xử lý nhanh các nội dung điều chỉnh cập nhật phục vụ an ninh năng lượng, tiến độ dự án nguồn và lưới, đồng thời vẫn phải bảo đảm nguyên tắc tích hợp trong Quy hoạch tỉnh.</w:t>
            </w:r>
          </w:p>
          <w:p w14:paraId="1AFA089C" w14:textId="77777777" w:rsidR="008C3CDA" w:rsidRPr="008C3CDA" w:rsidRDefault="008C3CDA" w:rsidP="008C3CDA">
            <w:pPr>
              <w:spacing w:after="0" w:line="264" w:lineRule="auto"/>
              <w:jc w:val="both"/>
              <w:rPr>
                <w:rFonts w:cs="Times New Roman"/>
                <w:sz w:val="24"/>
                <w:szCs w:val="24"/>
                <w:lang w:val="vi-VN"/>
              </w:rPr>
            </w:pPr>
            <w:r w:rsidRPr="008C3CDA">
              <w:rPr>
                <w:rFonts w:cs="Times New Roman"/>
                <w:sz w:val="24"/>
                <w:szCs w:val="24"/>
                <w:lang w:val="vi-VN"/>
              </w:rPr>
              <w:t xml:space="preserve">Trong lĩnh vực điện lực, hiện tồn tại song song: (i) quy hoạch phát triển điện lực (cấp quốc gia) và (ii) phương án phát triển mạng lưới cấp điện trong Quy hoạch tỉnh. Vì vậy cần tách bạch, </w:t>
            </w:r>
            <w:r w:rsidRPr="008C3CDA">
              <w:rPr>
                <w:rFonts w:cs="Times New Roman"/>
                <w:sz w:val="24"/>
                <w:szCs w:val="24"/>
                <w:lang w:val="vi-VN"/>
              </w:rPr>
              <w:lastRenderedPageBreak/>
              <w:t>quy định rõ 02 quy trình tương ứng (Điều 3) và trình tự xử lý hồ sơ (Điều 4), bao gồm: thành phần hồ sơ tối thiểu; bước tiếp nhận–thẩm định–phê duyệt; yêu cầu lấy ý kiến/giải trình; thời hạn; trách nhiệm công bố, cập nhật và phối hợp liên thông.</w:t>
            </w:r>
          </w:p>
          <w:p w14:paraId="79664C44" w14:textId="0529139B" w:rsidR="002D6954" w:rsidRPr="00A22F97" w:rsidRDefault="008C3CDA" w:rsidP="008C3CDA">
            <w:pPr>
              <w:spacing w:after="0" w:line="264" w:lineRule="auto"/>
              <w:jc w:val="both"/>
              <w:rPr>
                <w:rFonts w:cs="Times New Roman"/>
                <w:sz w:val="24"/>
                <w:szCs w:val="24"/>
                <w:lang w:val="vi-VN"/>
              </w:rPr>
            </w:pPr>
            <w:r w:rsidRPr="008C3CDA">
              <w:rPr>
                <w:rFonts w:cs="Times New Roman"/>
                <w:sz w:val="24"/>
                <w:szCs w:val="24"/>
                <w:lang w:val="vi-VN"/>
              </w:rPr>
              <w:t>Do đó, nội dung tại Điều 3, Điều 4 được hoàn thiện theo hướng: xác định rõ phạm vi, điều kiện/tiêu chí áp dụng; quy định bộ hồ sơ và quy trình xử lý phù hợp đặc thù điện lực, đồng thời dẫn chiếu/đảm bảo tương thích với khung pháp luật về quy hoạch và quy định chuyên ngành hiện hành.</w:t>
            </w:r>
          </w:p>
        </w:tc>
      </w:tr>
      <w:tr w:rsidR="002C29A1" w:rsidRPr="00A22F97" w14:paraId="1547D7E5" w14:textId="77777777" w:rsidTr="001C66E3">
        <w:trPr>
          <w:jc w:val="center"/>
        </w:trPr>
        <w:tc>
          <w:tcPr>
            <w:tcW w:w="672" w:type="dxa"/>
          </w:tcPr>
          <w:p w14:paraId="6E57DB8B" w14:textId="7699BC51" w:rsidR="005443D0" w:rsidRPr="00A22F97" w:rsidRDefault="005443D0" w:rsidP="00AD7491">
            <w:pPr>
              <w:spacing w:after="0" w:line="264" w:lineRule="auto"/>
              <w:ind w:left="30"/>
              <w:jc w:val="center"/>
              <w:rPr>
                <w:rFonts w:cs="Times New Roman"/>
                <w:sz w:val="24"/>
                <w:szCs w:val="24"/>
                <w:lang w:val="vi-VN"/>
              </w:rPr>
            </w:pPr>
          </w:p>
        </w:tc>
        <w:tc>
          <w:tcPr>
            <w:tcW w:w="3718" w:type="dxa"/>
          </w:tcPr>
          <w:p w14:paraId="1AA696EC" w14:textId="18DC704A" w:rsidR="00B54CEB" w:rsidRPr="00486826" w:rsidRDefault="00B54CEB" w:rsidP="00AD7491">
            <w:pPr>
              <w:spacing w:after="0" w:line="264" w:lineRule="auto"/>
              <w:jc w:val="both"/>
              <w:rPr>
                <w:rFonts w:cs="Times New Roman"/>
                <w:sz w:val="24"/>
                <w:szCs w:val="24"/>
              </w:rPr>
            </w:pPr>
            <w:r>
              <w:rPr>
                <w:rFonts w:cs="Times New Roman"/>
                <w:sz w:val="24"/>
                <w:szCs w:val="24"/>
              </w:rPr>
              <w:t>Không có quy định về điều kiện của đơn vị khảo sát</w:t>
            </w:r>
            <w:r w:rsidR="00D36273">
              <w:rPr>
                <w:rFonts w:cs="Times New Roman"/>
                <w:sz w:val="24"/>
                <w:szCs w:val="24"/>
              </w:rPr>
              <w:t xml:space="preserve"> điện gió ngoài khơi</w:t>
            </w:r>
          </w:p>
        </w:tc>
        <w:tc>
          <w:tcPr>
            <w:tcW w:w="6237" w:type="dxa"/>
          </w:tcPr>
          <w:p w14:paraId="3D811FFA" w14:textId="77777777" w:rsidR="001319C0" w:rsidRPr="001319C0" w:rsidRDefault="001319C0" w:rsidP="001319C0">
            <w:pPr>
              <w:spacing w:after="0" w:line="264" w:lineRule="auto"/>
              <w:jc w:val="both"/>
              <w:rPr>
                <w:b/>
                <w:sz w:val="24"/>
                <w:szCs w:val="24"/>
                <w:lang w:val="vi-VN"/>
              </w:rPr>
            </w:pPr>
            <w:r w:rsidRPr="001319C0">
              <w:rPr>
                <w:b/>
                <w:sz w:val="24"/>
                <w:szCs w:val="24"/>
                <w:lang w:val="vi-VN"/>
              </w:rPr>
              <w:t>Điều 5. Điều kiện của đơn vị khảo sát dự án điện gió ngoài khơi</w:t>
            </w:r>
          </w:p>
          <w:p w14:paraId="1DB48341" w14:textId="77777777" w:rsidR="001319C0" w:rsidRPr="001319C0" w:rsidRDefault="001319C0" w:rsidP="001319C0">
            <w:pPr>
              <w:spacing w:after="0" w:line="264" w:lineRule="auto"/>
              <w:jc w:val="both"/>
              <w:rPr>
                <w:sz w:val="24"/>
                <w:szCs w:val="24"/>
                <w:lang w:val="vi-VN"/>
              </w:rPr>
            </w:pPr>
            <w:r w:rsidRPr="001319C0">
              <w:rPr>
                <w:sz w:val="24"/>
                <w:szCs w:val="24"/>
                <w:lang w:val="vi-VN"/>
              </w:rPr>
              <w:t>Ngoài các điều kiện và năng lực theo quy định hiện hành, doanh nghiệp đề xuất khảo sát dự án điện gió ngoài khơi phải đáp ứng các điều kiện sau:</w:t>
            </w:r>
          </w:p>
          <w:p w14:paraId="311C0864" w14:textId="77777777" w:rsidR="001319C0" w:rsidRPr="001319C0" w:rsidRDefault="001319C0" w:rsidP="001319C0">
            <w:pPr>
              <w:spacing w:after="0" w:line="264" w:lineRule="auto"/>
              <w:jc w:val="both"/>
              <w:rPr>
                <w:sz w:val="24"/>
                <w:szCs w:val="24"/>
                <w:lang w:val="vi-VN"/>
              </w:rPr>
            </w:pPr>
            <w:r w:rsidRPr="001319C0">
              <w:rPr>
                <w:sz w:val="24"/>
                <w:szCs w:val="24"/>
                <w:lang w:val="vi-VN"/>
              </w:rPr>
              <w:t>1. Có vốn điều lệ tối thiểu 5.000 tỷ đồng.</w:t>
            </w:r>
          </w:p>
          <w:p w14:paraId="1B7AAB83" w14:textId="72B09090" w:rsidR="001319C0" w:rsidRPr="001319C0" w:rsidRDefault="001319C0" w:rsidP="001319C0">
            <w:pPr>
              <w:spacing w:after="0" w:line="264" w:lineRule="auto"/>
              <w:jc w:val="both"/>
              <w:rPr>
                <w:sz w:val="24"/>
                <w:szCs w:val="24"/>
                <w:lang w:val="vi-VN"/>
              </w:rPr>
            </w:pPr>
            <w:r w:rsidRPr="001319C0">
              <w:rPr>
                <w:sz w:val="24"/>
                <w:szCs w:val="24"/>
                <w:lang w:val="vi-VN"/>
              </w:rPr>
              <w:t xml:space="preserve">2. Đã đầu tư trực tiếp hoặc góp vốn đầu tư phát triển ít nhất một (01) dự án năng lượng (tổng vốn đầu tư không thấp hơn </w:t>
            </w:r>
            <w:r w:rsidR="00AD4518">
              <w:rPr>
                <w:sz w:val="24"/>
                <w:szCs w:val="24"/>
              </w:rPr>
              <w:t>10</w:t>
            </w:r>
            <w:r w:rsidRPr="001319C0">
              <w:rPr>
                <w:sz w:val="24"/>
                <w:szCs w:val="24"/>
                <w:lang w:val="vi-VN"/>
              </w:rPr>
              <w:t>.000 tỷ đồng) được vận hành khai thác (trong vòng 05 năm gần nhất) tại Việt Nam, các nước trên thế giới (phần vốn trong dự án tối thiểu 5% tổng vốn đầu tư dự án) hoặc đã thực hiện một trong các hoạt động như quản lý dự án, thi công xây dựng dự án điện gió ngoài khơi tại Việt Nam hoặc các nước trên thế giới.</w:t>
            </w:r>
          </w:p>
          <w:p w14:paraId="3E022B2D" w14:textId="4C12897F" w:rsidR="005443D0" w:rsidRPr="00A22F97" w:rsidRDefault="001319C0" w:rsidP="001319C0">
            <w:pPr>
              <w:spacing w:after="0" w:line="264" w:lineRule="auto"/>
              <w:jc w:val="both"/>
              <w:rPr>
                <w:sz w:val="24"/>
                <w:szCs w:val="24"/>
                <w:lang w:val="vi-VN"/>
              </w:rPr>
            </w:pPr>
            <w:r w:rsidRPr="001319C0">
              <w:rPr>
                <w:sz w:val="24"/>
                <w:szCs w:val="24"/>
                <w:lang w:val="vi-VN"/>
              </w:rPr>
              <w:t>3. Các điều kiện tại khoản 1, khoản 2 Điều này không áp dụng cho đơn vị thực hiện tư vấn, cung cấp dịch vụ khảo sát điện gió ngoài khơi, trừ trường hợp đơn vị khảo sát tự thực hiện.</w:t>
            </w:r>
          </w:p>
        </w:tc>
        <w:tc>
          <w:tcPr>
            <w:tcW w:w="3827" w:type="dxa"/>
          </w:tcPr>
          <w:p w14:paraId="3C8A00A7" w14:textId="29CA85B8" w:rsidR="0057466D" w:rsidRPr="004C7A3B" w:rsidRDefault="00B54CEB" w:rsidP="00AD7491">
            <w:pPr>
              <w:spacing w:after="0" w:line="264" w:lineRule="auto"/>
              <w:jc w:val="both"/>
              <w:rPr>
                <w:sz w:val="24"/>
                <w:szCs w:val="24"/>
              </w:rPr>
            </w:pPr>
            <w:r w:rsidRPr="00B54CEB">
              <w:rPr>
                <w:sz w:val="24"/>
                <w:szCs w:val="24"/>
              </w:rPr>
              <w:t>Thực tiễn vừa qua, có một số doanh nghiệp không đủ năng lực để thực hiện đầu tư dự án điện gió ngoài khơi. Tuy nhiên, các doanh nghiệp này đã đăng ký để thực hiện khảo sát rất nhiều dự án điện gió ngoài khơi. Việc thực hiện nêu trên sẽ dẫn đến các dự án điện gió ngoài khơi rơi vào tay các doanh nghiệp không có năng lực, uy tín để triển khai thực hiện; giấy phép khảo sát dự án điện gió ngoài khơi được các doanh nghiệp này đưa ra bán để thu lợi;… Do đó, cần thiết phải bổ sung một số tiêu chí về năng lực của các doanh nghiệp đăng ký khảo sát điện gió ngoài khơi để hạn chế điều này</w:t>
            </w:r>
            <w:r>
              <w:rPr>
                <w:sz w:val="24"/>
                <w:szCs w:val="24"/>
              </w:rPr>
              <w:t>.</w:t>
            </w:r>
          </w:p>
        </w:tc>
      </w:tr>
      <w:tr w:rsidR="00D36273" w:rsidRPr="00A22F97" w14:paraId="76F7EEA9" w14:textId="77777777" w:rsidTr="001C66E3">
        <w:trPr>
          <w:jc w:val="center"/>
        </w:trPr>
        <w:tc>
          <w:tcPr>
            <w:tcW w:w="672" w:type="dxa"/>
          </w:tcPr>
          <w:p w14:paraId="61CCA762" w14:textId="77777777" w:rsidR="00D36273" w:rsidRPr="00A22F97" w:rsidRDefault="00D36273" w:rsidP="00AD7491">
            <w:pPr>
              <w:spacing w:after="0" w:line="264" w:lineRule="auto"/>
              <w:ind w:left="30"/>
              <w:jc w:val="center"/>
              <w:rPr>
                <w:rFonts w:cs="Times New Roman"/>
                <w:sz w:val="24"/>
                <w:szCs w:val="24"/>
                <w:lang w:val="vi-VN"/>
              </w:rPr>
            </w:pPr>
          </w:p>
        </w:tc>
        <w:tc>
          <w:tcPr>
            <w:tcW w:w="3718" w:type="dxa"/>
          </w:tcPr>
          <w:p w14:paraId="033E5138" w14:textId="157512AC" w:rsidR="00D36273" w:rsidRDefault="00D36273" w:rsidP="00AD7491">
            <w:pPr>
              <w:spacing w:after="0" w:line="264" w:lineRule="auto"/>
              <w:jc w:val="both"/>
              <w:rPr>
                <w:sz w:val="24"/>
                <w:szCs w:val="24"/>
              </w:rPr>
            </w:pPr>
            <w:r>
              <w:rPr>
                <w:sz w:val="24"/>
                <w:szCs w:val="24"/>
              </w:rPr>
              <w:t>Khoản 3 Điều 27 của Luật Điện lực số 61/2024/QH15 mới chỉ quy định việc xử lý chi phí khảo sát dự án điện gió ngoài khơi cho Doanh nghiệp do Nhà nước nắm giữ 100% vốn điều lệ thực hiện nhiệm vụ do cấp có thẩm quyền giao.</w:t>
            </w:r>
          </w:p>
        </w:tc>
        <w:tc>
          <w:tcPr>
            <w:tcW w:w="6237" w:type="dxa"/>
          </w:tcPr>
          <w:p w14:paraId="2E8428C3" w14:textId="77777777" w:rsidR="008E0323" w:rsidRPr="008E0323" w:rsidRDefault="008E0323" w:rsidP="008E0323">
            <w:pPr>
              <w:spacing w:after="0" w:line="264" w:lineRule="auto"/>
              <w:jc w:val="both"/>
              <w:rPr>
                <w:b/>
                <w:sz w:val="24"/>
                <w:szCs w:val="24"/>
                <w:lang w:val="vi-VN"/>
              </w:rPr>
            </w:pPr>
            <w:r w:rsidRPr="008E0323">
              <w:rPr>
                <w:b/>
                <w:sz w:val="24"/>
                <w:szCs w:val="24"/>
                <w:lang w:val="vi-VN"/>
              </w:rPr>
              <w:t>Điều 6. Xử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1F1C8554" w14:textId="77777777" w:rsidR="008E0323" w:rsidRPr="008E0323" w:rsidRDefault="008E0323" w:rsidP="008E0323">
            <w:pPr>
              <w:spacing w:after="0" w:line="264" w:lineRule="auto"/>
              <w:jc w:val="both"/>
              <w:rPr>
                <w:sz w:val="24"/>
                <w:szCs w:val="24"/>
                <w:lang w:val="vi-VN"/>
              </w:rPr>
            </w:pPr>
            <w:r w:rsidRPr="008E0323">
              <w:rPr>
                <w:sz w:val="24"/>
                <w:szCs w:val="24"/>
                <w:lang w:val="vi-VN"/>
              </w:rPr>
              <w:t>1. Trường hợp doanh nghiệp do Nhà nước nắm giữ 100% vốn điều lệ đã thực hiện khảo sát nhưng không tham gia thực hiện Dự án theo quy định tại điểm b khoản 3 Điều 27 của Luật Điện lực số 61/2024/QH15 thì thực hiện như sau:</w:t>
            </w:r>
          </w:p>
          <w:p w14:paraId="24339BBE" w14:textId="77777777" w:rsidR="008E0323" w:rsidRPr="008E0323" w:rsidRDefault="008E0323" w:rsidP="008E0323">
            <w:pPr>
              <w:spacing w:after="0" w:line="264" w:lineRule="auto"/>
              <w:jc w:val="both"/>
              <w:rPr>
                <w:sz w:val="24"/>
                <w:szCs w:val="24"/>
                <w:lang w:val="vi-VN"/>
              </w:rPr>
            </w:pPr>
            <w:r w:rsidRPr="008E0323">
              <w:rPr>
                <w:sz w:val="24"/>
                <w:szCs w:val="24"/>
                <w:lang w:val="vi-VN"/>
              </w:rPr>
              <w:t>a) Nhà đầu tư phải hoàn trả toàn bộ chi phí khảo sát, chi phí lập hồ sơ chấp thuận chủ trương đầu tư cho doanh nghiệp do Nhà nước nắm giữ 100% vốn điều lệ trong thời hạn 30 (ba mươi) ngày làm việc kể từ ngày được chấp thuận là nhà đầu tư thực hiện dự án điện gió ngoài khơi;</w:t>
            </w:r>
          </w:p>
          <w:p w14:paraId="6AEA92A6" w14:textId="77777777" w:rsidR="008E0323" w:rsidRPr="008E0323" w:rsidRDefault="008E0323" w:rsidP="008E0323">
            <w:pPr>
              <w:spacing w:after="0" w:line="264" w:lineRule="auto"/>
              <w:jc w:val="both"/>
              <w:rPr>
                <w:sz w:val="24"/>
                <w:szCs w:val="24"/>
                <w:lang w:val="vi-VN"/>
              </w:rPr>
            </w:pPr>
            <w:r w:rsidRPr="008E0323">
              <w:rPr>
                <w:sz w:val="24"/>
                <w:szCs w:val="24"/>
                <w:lang w:val="vi-VN"/>
              </w:rPr>
              <w:t>b) Trong vòng 12 tháng kể từ thời điểm kết thúc khảo sát không có nhà đầu tư trúng thầu, chi phí khảo sát và chi phí lập hồ sơ được hạch toán vào chi phí sản xuất kinh doanh của doanh nghiệp.</w:t>
            </w:r>
          </w:p>
          <w:p w14:paraId="4408E736" w14:textId="77777777" w:rsidR="008E0323" w:rsidRPr="008E0323" w:rsidRDefault="008E0323" w:rsidP="008E0323">
            <w:pPr>
              <w:spacing w:after="0" w:line="264" w:lineRule="auto"/>
              <w:jc w:val="both"/>
              <w:rPr>
                <w:sz w:val="24"/>
                <w:szCs w:val="24"/>
                <w:lang w:val="vi-VN"/>
              </w:rPr>
            </w:pPr>
            <w:r w:rsidRPr="008E0323">
              <w:rPr>
                <w:sz w:val="24"/>
                <w:szCs w:val="24"/>
                <w:lang w:val="vi-VN"/>
              </w:rPr>
              <w:t>2. Trường hợp doanh nghiệp do Nhà nước nắm giữ 100% vốn điều lệ đã thực hiện khảo sát thực hiện góp vốn đầu tư vào dự án điện gió ngoài khơi tại khu vực được cấp có thẩm quyền giao thực hiện khảo sát theo quy định tại điểm a khoản 2 Điều 27 của Luật Điện lực số 61/2024/QH15 thì thực hiện như sau:</w:t>
            </w:r>
          </w:p>
          <w:p w14:paraId="249AD4AA" w14:textId="77777777" w:rsidR="008E0323" w:rsidRPr="008E0323" w:rsidRDefault="008E0323" w:rsidP="008E0323">
            <w:pPr>
              <w:spacing w:after="0" w:line="264" w:lineRule="auto"/>
              <w:jc w:val="both"/>
              <w:rPr>
                <w:sz w:val="24"/>
                <w:szCs w:val="24"/>
                <w:lang w:val="vi-VN"/>
              </w:rPr>
            </w:pPr>
            <w:r w:rsidRPr="008E0323">
              <w:rPr>
                <w:sz w:val="24"/>
                <w:szCs w:val="24"/>
                <w:lang w:val="vi-VN"/>
              </w:rPr>
              <w:t>a) Các nhà đầu tư tham gia cùng góp vốn dự án hoàn trả chi phí khảo sát, chi phí lập hồ sơ chấp thuận chủ trương đầu tư theo tỷ lệ góp vốn được quy định trong hồ sơ chấp thuận chủ trương đầu tư trước khi được chấp thuận là nhà đầu tư thực hiện dự án điện gió ngoài khơi;</w:t>
            </w:r>
          </w:p>
          <w:p w14:paraId="08BE7311" w14:textId="62DD53A0" w:rsidR="00D36273" w:rsidRPr="00A72EBF" w:rsidRDefault="008E0323" w:rsidP="008E0323">
            <w:pPr>
              <w:spacing w:after="0" w:line="264" w:lineRule="auto"/>
              <w:jc w:val="both"/>
              <w:rPr>
                <w:sz w:val="24"/>
                <w:szCs w:val="24"/>
                <w:lang w:val="vi-VN"/>
              </w:rPr>
            </w:pPr>
            <w:r w:rsidRPr="008E0323">
              <w:rPr>
                <w:sz w:val="24"/>
                <w:szCs w:val="24"/>
                <w:lang w:val="vi-VN"/>
              </w:rPr>
              <w:t xml:space="preserve">b) Dự án không đáp ứng đủ các điều kiện để quyết định đầu tư, hoặc đã quyết định đầu tư nhưng bị dừng, hủy bỏ hoặc không </w:t>
            </w:r>
            <w:r w:rsidRPr="008E0323">
              <w:rPr>
                <w:sz w:val="24"/>
                <w:szCs w:val="24"/>
                <w:lang w:val="vi-VN"/>
              </w:rPr>
              <w:lastRenderedPageBreak/>
              <w:t>tiếp tục thực hiện theo quyết định của cấp có thẩm quyền, chi phí khảo sát và chi phí lập hồ sơ theo tỷ lệ góp vốn được hạch toán vào chi phí sản xuất kinh doanh của doanh nghiệp.</w:t>
            </w:r>
          </w:p>
        </w:tc>
        <w:tc>
          <w:tcPr>
            <w:tcW w:w="3827" w:type="dxa"/>
          </w:tcPr>
          <w:p w14:paraId="10CA2A1E" w14:textId="77777777" w:rsidR="0003058F" w:rsidRDefault="0003058F" w:rsidP="0003058F">
            <w:pPr>
              <w:spacing w:after="0" w:line="264" w:lineRule="auto"/>
              <w:jc w:val="both"/>
              <w:rPr>
                <w:sz w:val="24"/>
                <w:szCs w:val="24"/>
              </w:rPr>
            </w:pPr>
            <w:r>
              <w:rPr>
                <w:sz w:val="24"/>
                <w:szCs w:val="24"/>
              </w:rPr>
              <w:lastRenderedPageBreak/>
              <w:t>Quy định hiện hành chỉ áp dụng đối với trường hợp dự án khảo sát khả thi, lựa chọn được nhà đầu tư thực hiện đầu tư dự án; chưa có trường hợp dự án khảo sát nhưng không khả thi để thực hiện. Do đó, bổ sung nội dung về chi phí và hạch toán chi phí khảo sát cho Doanh nghiệp do Nhà nước nắm giữ 100% vốn điều lệ thực hiện nhiệm vụ do cấp có thẩm quyền giao, tuy nhiên dự án không khả thi để đầu tư.</w:t>
            </w:r>
          </w:p>
          <w:p w14:paraId="0D50FC9E" w14:textId="77777777" w:rsidR="00D36273" w:rsidRDefault="00D36273" w:rsidP="00AD7491">
            <w:pPr>
              <w:spacing w:after="0" w:line="264" w:lineRule="auto"/>
              <w:jc w:val="both"/>
              <w:rPr>
                <w:sz w:val="24"/>
                <w:szCs w:val="24"/>
              </w:rPr>
            </w:pPr>
          </w:p>
        </w:tc>
      </w:tr>
      <w:tr w:rsidR="002C29A1" w:rsidRPr="00A22F97" w14:paraId="39B0DF43" w14:textId="77777777" w:rsidTr="001C66E3">
        <w:trPr>
          <w:jc w:val="center"/>
        </w:trPr>
        <w:tc>
          <w:tcPr>
            <w:tcW w:w="672" w:type="dxa"/>
          </w:tcPr>
          <w:p w14:paraId="00321BC6" w14:textId="70425754" w:rsidR="005443D0" w:rsidRPr="00A22F97" w:rsidRDefault="005443D0" w:rsidP="00AD7491">
            <w:pPr>
              <w:spacing w:after="0" w:line="264" w:lineRule="auto"/>
              <w:ind w:firstLine="181"/>
              <w:jc w:val="center"/>
              <w:rPr>
                <w:rFonts w:cs="Times New Roman"/>
                <w:spacing w:val="4"/>
                <w:sz w:val="24"/>
                <w:szCs w:val="24"/>
                <w:lang w:val="vi-VN"/>
              </w:rPr>
            </w:pPr>
          </w:p>
        </w:tc>
        <w:tc>
          <w:tcPr>
            <w:tcW w:w="3718" w:type="dxa"/>
          </w:tcPr>
          <w:p w14:paraId="5B224FE3" w14:textId="77777777" w:rsidR="00522617" w:rsidRPr="00522617" w:rsidRDefault="00522617" w:rsidP="00522617">
            <w:pPr>
              <w:spacing w:after="0" w:line="264" w:lineRule="auto"/>
              <w:jc w:val="both"/>
              <w:rPr>
                <w:rFonts w:cs="Times New Roman"/>
                <w:i/>
                <w:sz w:val="24"/>
                <w:szCs w:val="24"/>
              </w:rPr>
            </w:pPr>
            <w:r>
              <w:rPr>
                <w:rFonts w:cs="Times New Roman"/>
                <w:sz w:val="24"/>
                <w:szCs w:val="24"/>
              </w:rPr>
              <w:t>Khoản 2 Điều 27 của Luật Điện lực số 61/2024/QH15: “</w:t>
            </w:r>
            <w:r w:rsidRPr="00522617">
              <w:rPr>
                <w:rFonts w:cs="Times New Roman"/>
                <w:i/>
                <w:sz w:val="24"/>
                <w:szCs w:val="24"/>
              </w:rPr>
              <w:t>2. Nội dung hồ sơ đề nghị chấp thuận chủ trương đầu tư đồng thời chấp thuận nhà đầu tư, hồ sơ đề nghị chấp thuận hoặc quyết định chủ trương đầu tư dự án điện gió ngoài khơi thực hiện theo quy định của Luật Đầu tư hoặc Luật Đầu tư công hoặc Luật Đầu tư theo phương thức đối tác công tư và các nội dung sau đây:</w:t>
            </w:r>
          </w:p>
          <w:p w14:paraId="45DA120A" w14:textId="77777777" w:rsidR="00522617" w:rsidRPr="00522617" w:rsidRDefault="00522617" w:rsidP="00522617">
            <w:pPr>
              <w:spacing w:after="0" w:line="264" w:lineRule="auto"/>
              <w:jc w:val="both"/>
              <w:rPr>
                <w:rFonts w:cs="Times New Roman"/>
                <w:i/>
                <w:sz w:val="24"/>
                <w:szCs w:val="24"/>
              </w:rPr>
            </w:pPr>
            <w:r w:rsidRPr="00522617">
              <w:rPr>
                <w:rFonts w:cs="Times New Roman"/>
                <w:i/>
                <w:sz w:val="24"/>
                <w:szCs w:val="24"/>
              </w:rPr>
              <w:t>a) Dự kiến vị trí, tọa độ và diện tích khu vực biển sử dụng thay cho tài liệu xác định quyền sử dụng địa điểm để thực hiện dự án đầu tư;</w:t>
            </w:r>
          </w:p>
          <w:p w14:paraId="0DF1B8D4" w14:textId="77777777" w:rsidR="005443D0" w:rsidRDefault="00522617" w:rsidP="00522617">
            <w:pPr>
              <w:spacing w:after="0" w:line="264" w:lineRule="auto"/>
              <w:jc w:val="both"/>
              <w:rPr>
                <w:rFonts w:cs="Times New Roman"/>
                <w:i/>
                <w:sz w:val="24"/>
                <w:szCs w:val="24"/>
              </w:rPr>
            </w:pPr>
            <w:r w:rsidRPr="00522617">
              <w:rPr>
                <w:rFonts w:cs="Times New Roman"/>
                <w:i/>
                <w:sz w:val="24"/>
                <w:szCs w:val="24"/>
              </w:rPr>
              <w:t>b) Dự kiến thời gian sử dụng khu vực biển.</w:t>
            </w:r>
            <w:r>
              <w:rPr>
                <w:rFonts w:cs="Times New Roman"/>
                <w:i/>
                <w:sz w:val="24"/>
                <w:szCs w:val="24"/>
              </w:rPr>
              <w:t>”</w:t>
            </w:r>
          </w:p>
          <w:p w14:paraId="3424502B" w14:textId="19C37596" w:rsidR="007648CF" w:rsidRPr="00522617" w:rsidRDefault="007648CF" w:rsidP="00070810">
            <w:pPr>
              <w:spacing w:after="0" w:line="264" w:lineRule="auto"/>
              <w:jc w:val="both"/>
              <w:rPr>
                <w:rFonts w:cs="Times New Roman"/>
                <w:sz w:val="24"/>
                <w:szCs w:val="24"/>
              </w:rPr>
            </w:pPr>
          </w:p>
        </w:tc>
        <w:tc>
          <w:tcPr>
            <w:tcW w:w="6237" w:type="dxa"/>
          </w:tcPr>
          <w:p w14:paraId="47B2419D" w14:textId="77777777" w:rsidR="00F643A9" w:rsidRPr="00F643A9" w:rsidRDefault="00F643A9" w:rsidP="00F643A9">
            <w:pPr>
              <w:spacing w:after="0" w:line="264" w:lineRule="auto"/>
              <w:jc w:val="both"/>
              <w:rPr>
                <w:rFonts w:cs="Times New Roman"/>
                <w:b/>
                <w:spacing w:val="4"/>
                <w:sz w:val="24"/>
                <w:szCs w:val="24"/>
                <w:lang w:val="vi-VN"/>
              </w:rPr>
            </w:pPr>
            <w:r w:rsidRPr="00F643A9">
              <w:rPr>
                <w:rFonts w:cs="Times New Roman"/>
                <w:b/>
                <w:spacing w:val="4"/>
                <w:sz w:val="24"/>
                <w:szCs w:val="24"/>
                <w:lang w:val="vi-VN"/>
              </w:rPr>
              <w:t>Điều 7. Hồ sơ đề nghị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1C8BF423"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1. Hồ sơ đề nghị chấp thuận chủ trương đầu tư dự án đầu tư kinh doanh điện gió ngoài khơi trong quy hoạch phát triển điện lực và dự kiến vận hành trong giai đoạn 2025 – 2030 bao gồm các nội dung sau:</w:t>
            </w:r>
          </w:p>
          <w:p w14:paraId="40219CDC"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a) Nội dung theo quy định của pháp luật về đầu tư;</w:t>
            </w:r>
          </w:p>
          <w:p w14:paraId="648B7BF6"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b) Nội dung khác phù hợp với pháp luật về xây dựng trường hợp phải lập báo cáo nghiên cứu tiền khả thi;</w:t>
            </w:r>
          </w:p>
          <w:p w14:paraId="561F769D"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c) Dự kiến diện tích, vị trí khu vực biển sử dụng khảo sát, thời gian thực hiện khảo sát;</w:t>
            </w:r>
          </w:p>
          <w:p w14:paraId="1016549B"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d) Số liệu nghiên cứu hoặc số liệu thu thập từ nguồn hợp pháp, bảo đảm tin cậy của khu vực đề xuất thực hiện dự án điện gió ngoài khơi, bao gồm: sơ bộ về tốc độ gió được đánh giá khả thi để đầu tư điện gió ngoài khơi (tối thiểu thời đoạn tuần), điều kiện địa hình, điều kiện địa chất; sơ bộ điều kiện tự nhiên, điều kiện hải dương học (nếu có); sơ bộ phương án cảng vận chuyển thiết bị dự án điện gió ngoài khơi;</w:t>
            </w:r>
          </w:p>
          <w:p w14:paraId="43B8838B"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đ) Đề xuất mức giảm giá điện (đồng/kwh) so với mức trần khung giá tại năm đàm phán hợp đồng mua bán điện;</w:t>
            </w:r>
          </w:p>
          <w:p w14:paraId="189B3F0B"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 xml:space="preserve">e) Vị trí khu vực biển sử dụng để đầu tư dự án được xác định tại báo cáo nghiên cứu khả thi đầu tư xây dựng dự án điện gió ngoài khơi và nằm trong vị trí khu vực biển được giao sử </w:t>
            </w:r>
            <w:r w:rsidRPr="00F643A9">
              <w:rPr>
                <w:rFonts w:cs="Times New Roman"/>
                <w:spacing w:val="4"/>
                <w:sz w:val="24"/>
                <w:szCs w:val="24"/>
                <w:lang w:val="vi-VN"/>
              </w:rPr>
              <w:lastRenderedPageBreak/>
              <w:t>dụng khảo sát tại hồ sơ chấp thuận chủ trương đầu tư được cấp có thẩm quyền phê duyệt;</w:t>
            </w:r>
          </w:p>
          <w:p w14:paraId="16CE50C8"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g) Đề xuất các mốc tiến độ thực hiện dự án: Quyết định phê duyệt dự án; khởi công công trình chính của dự án; đưa dự án vào vận hành;</w:t>
            </w:r>
          </w:p>
          <w:p w14:paraId="03FDBC96"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h) Tài liệu chứng minh năng lực của doanh nghiệp theo quy định.</w:t>
            </w:r>
          </w:p>
          <w:p w14:paraId="38387540"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2. Hồ sơ chấp thuận chủ trương đầu tư dự án đầu tư kinh doanh điện gió ngoài khơi trong quy hoạch phát triển điện lực và dự kiến vận hành trong giai đoạn 2031 – 2035 bao gồm các nội dung sau:</w:t>
            </w:r>
          </w:p>
          <w:p w14:paraId="68F6D8E9"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a) Nội dung theo quy định của pháp luật về đầu tư;</w:t>
            </w:r>
          </w:p>
          <w:p w14:paraId="60EC597B"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b) Nội dung khác phù hợp với pháp luật về xây dựng trường hợp phải lập báo cáo nghiên cứu tiền khả thi;</w:t>
            </w:r>
          </w:p>
          <w:p w14:paraId="6631A0AB"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c) Số liệu thực tế tại khu vực được giao khu vực biển để khảo sát điện gió ngoài khơi, bao gồm: tốc độ gió được đánh giá khả thi để đầu tư điện gió ngoài khơi (tối thiểu thời đoạn tuần), điều kiện địa hình, điều kiện địa chất; điều kiện tự nhiên, điều kiện hải dương học (nếu có); dự kiến phương án cảng vận chuyển thiết bị dự án điện gió ngoài khơi;</w:t>
            </w:r>
          </w:p>
          <w:p w14:paraId="18EDA9EC"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d) Đề xuất mức giảm giá điện (đồng/kwh) so với mức trần khung giá tại năm đàm phán hợp đồng mua bán điện (nếu có);</w:t>
            </w:r>
          </w:p>
          <w:p w14:paraId="709C887D"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đ) Đề xuất các mốc tiến độ thực hiện dự án: Quyết định phê duyệt dự án; khởi công công trình chính của dự án; đưa dự án vào vận hành;</w:t>
            </w:r>
          </w:p>
          <w:p w14:paraId="402D27BC" w14:textId="77777777" w:rsidR="00F643A9" w:rsidRPr="00F643A9"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t>e) Văn bản chấp thuận vị trí điểm gom công suất của dự án điện gió ngoài khơi của Bộ Công Thương;</w:t>
            </w:r>
          </w:p>
          <w:p w14:paraId="34E22464" w14:textId="1F5A28BF" w:rsidR="005443D0" w:rsidRPr="00A22F97" w:rsidRDefault="00F643A9" w:rsidP="00F643A9">
            <w:pPr>
              <w:spacing w:after="0" w:line="264" w:lineRule="auto"/>
              <w:jc w:val="both"/>
              <w:rPr>
                <w:rFonts w:cs="Times New Roman"/>
                <w:spacing w:val="4"/>
                <w:sz w:val="24"/>
                <w:szCs w:val="24"/>
                <w:lang w:val="vi-VN"/>
              </w:rPr>
            </w:pPr>
            <w:r w:rsidRPr="00F643A9">
              <w:rPr>
                <w:rFonts w:cs="Times New Roman"/>
                <w:spacing w:val="4"/>
                <w:sz w:val="24"/>
                <w:szCs w:val="24"/>
                <w:lang w:val="vi-VN"/>
              </w:rPr>
              <w:lastRenderedPageBreak/>
              <w:t>g) Tài liệu chứng minh năng lực của doanh nghiệp theo quy định.</w:t>
            </w:r>
          </w:p>
        </w:tc>
        <w:tc>
          <w:tcPr>
            <w:tcW w:w="3827" w:type="dxa"/>
          </w:tcPr>
          <w:p w14:paraId="70243FCF" w14:textId="166F90E3" w:rsidR="005443D0" w:rsidRPr="00A22F97" w:rsidRDefault="00522617" w:rsidP="00522617">
            <w:pPr>
              <w:spacing w:after="0" w:line="264" w:lineRule="auto"/>
              <w:jc w:val="both"/>
              <w:rPr>
                <w:rFonts w:cs="Times New Roman"/>
                <w:spacing w:val="4"/>
                <w:sz w:val="24"/>
                <w:szCs w:val="24"/>
              </w:rPr>
            </w:pPr>
            <w:r w:rsidRPr="00522617">
              <w:rPr>
                <w:rFonts w:cs="Times New Roman"/>
                <w:spacing w:val="4"/>
                <w:sz w:val="24"/>
                <w:szCs w:val="24"/>
              </w:rPr>
              <w:lastRenderedPageBreak/>
              <w:t>Theo quy định của Luật Điện lực số 61/2024/QH15 và Nghị định số 58/2025/NĐ-CP ngày 03/3/2025 quy định về chi tiết một số điều của Luật Điện lực về phát triển điện năng lượng tái tạo, điện năng lượng mới, hồ sơ đề nghị chấp thuận chủ trương đầu tư dự án điện gió ngoài khơi còn có nhiều cách hiểu cách nhau, đặc biệt là về nội dung khảo sát phục vụ lập báo cáo nghiên cứu tiền khả thi. Do đó, Nghị định này sẽ làm rõ nội dung của hồ sơ đề nghị chấp thuận chủ trương đầu tư dự án điện gió ngoài khơi để các tổ chức, cá nhân quan tâm thực hiện thống nhất.</w:t>
            </w:r>
          </w:p>
        </w:tc>
      </w:tr>
      <w:tr w:rsidR="00B82FC8" w:rsidRPr="00A22F97" w14:paraId="01DFB16A" w14:textId="77777777" w:rsidTr="001C66E3">
        <w:trPr>
          <w:jc w:val="center"/>
        </w:trPr>
        <w:tc>
          <w:tcPr>
            <w:tcW w:w="672" w:type="dxa"/>
          </w:tcPr>
          <w:p w14:paraId="706A49B7" w14:textId="77777777" w:rsidR="00B82FC8" w:rsidRPr="00A22F97" w:rsidRDefault="00B82FC8" w:rsidP="00AD7491">
            <w:pPr>
              <w:spacing w:after="0" w:line="264" w:lineRule="auto"/>
              <w:ind w:firstLine="181"/>
              <w:jc w:val="center"/>
              <w:rPr>
                <w:rFonts w:cs="Times New Roman"/>
                <w:spacing w:val="4"/>
                <w:sz w:val="24"/>
                <w:szCs w:val="24"/>
                <w:lang w:val="vi-VN"/>
              </w:rPr>
            </w:pPr>
          </w:p>
        </w:tc>
        <w:tc>
          <w:tcPr>
            <w:tcW w:w="3718" w:type="dxa"/>
          </w:tcPr>
          <w:p w14:paraId="7A82AF0A" w14:textId="77777777" w:rsidR="00B82FC8" w:rsidRPr="00070810" w:rsidRDefault="00B82FC8" w:rsidP="00B82FC8">
            <w:pPr>
              <w:spacing w:after="0" w:line="264" w:lineRule="auto"/>
              <w:jc w:val="both"/>
              <w:rPr>
                <w:rFonts w:cs="Times New Roman"/>
                <w:sz w:val="24"/>
                <w:szCs w:val="24"/>
              </w:rPr>
            </w:pPr>
            <w:r>
              <w:rPr>
                <w:rFonts w:cs="Times New Roman"/>
                <w:sz w:val="24"/>
                <w:szCs w:val="24"/>
              </w:rPr>
              <w:t>Điều 28 của Luật Điện lực số 61/2024/QH15: “</w:t>
            </w:r>
            <w:r w:rsidRPr="00070810">
              <w:rPr>
                <w:rFonts w:cs="Times New Roman"/>
                <w:sz w:val="24"/>
                <w:szCs w:val="24"/>
              </w:rPr>
              <w:t>Điều 28. Điều kiện nhà đầu tư thực hiện dự án điện gió ngoài khơi</w:t>
            </w:r>
          </w:p>
          <w:p w14:paraId="02821D24"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1. Nhà đầu tư nước ngoài, tổ chức kinh tế có vốn đầu tư nước ngoài quy định tại khoản 1 Điều 23 Luật Đầu tư thực hiện, tham gia thực hiện đầu tư, tham gia đấu thầu lựa chọn nhà đầu tư dự án điện gió ngoài khơi phải đáp ứng các điều kiện sau:</w:t>
            </w:r>
          </w:p>
          <w:p w14:paraId="54A4ABBE"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a) Có kinh nghiệm trong việc đầu tư phát triển ít nhất 01 dự án điện gió ngoài khơi được vận hành khai thác tại Việt Nam hoặc các nước trên thế giới, gồm trực tiếp đầu tư hoặc góp vốn đầu tư đáp ứng tỷ lệ quy định tại điểm b khoản này hoặc thực hiện một trong các hoạt động như quản lý dự án, thiết kế, thi công xây dựng. Trường hợp nhiều nhà đầu tư liên danh thì điều kiện về kinh nghiệm được tính bằng tổng kinh nghiệm của các thành viên trong liên danh;</w:t>
            </w:r>
          </w:p>
          <w:p w14:paraId="3AB79380"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 xml:space="preserve">b) Có năng lực tài chính, phần vốn trong dự án chiếm tối thiểu 15% tổng mức đầu tư dự án dự kiến và tỷ lệ </w:t>
            </w:r>
            <w:r w:rsidRPr="00070810">
              <w:rPr>
                <w:rFonts w:cs="Times New Roman"/>
                <w:sz w:val="24"/>
                <w:szCs w:val="24"/>
              </w:rPr>
              <w:lastRenderedPageBreak/>
              <w:t>vốn chủ sở hữu trên phần vốn góp tham gia dự án tối thiểu 20%;</w:t>
            </w:r>
          </w:p>
          <w:p w14:paraId="2FA26740"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c) Có sự tham gia của doanh nghiệp trong nước với tổng tỷ lệ nắm giữ vốn điều lệ hoặc tổng số cổ phần có quyền biểu quyết trong tổ chức kinh tế thực hiện dự án tối thiểu 5% gồm: Doanh nghiệp nhà nước hoặc doanh nghiệp do doanh nghiệp do Nhà nước nắm giữ 100% vốn điều lệ nắm giữ trên 50% vốn điều lệ hoặc tổng số cổ phần có quyền biểu quyết;</w:t>
            </w:r>
          </w:p>
          <w:p w14:paraId="045FBC40"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d) Có ý kiến thống nhất bằng văn bản của Bộ Quốc phòng, Bộ Công an, Bộ Ngoại giao. Trường hợp nhà đầu tư đề xuất hồ sơ đề nghị chấp thuận chủ trương đầu tư dự án đầu tư, cơ quan có thẩm quyền tổ chức thẩm định đề nghị chấp thuận chủ trương đầu tư chịu trách nhiệm lấy ý kiến trong quá trình thẩm định. Trường hợp khác, cơ quan có thẩm quyền tổ chức lựa chọn nhà đầu tư chịu trách nhiệm lấy ý kiến trước khi thực hiện thủ tục lựa chọn nhà đầu tư;</w:t>
            </w:r>
          </w:p>
          <w:p w14:paraId="67C586FD"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 xml:space="preserve">đ) Cam kết sử dụng nhân lực, hàng hóa, dịch vụ của nhà cung cấp trong nước trong quá trình thực hiện đầu tư, xây dựng và vận hành dự án trên </w:t>
            </w:r>
            <w:r w:rsidRPr="00070810">
              <w:rPr>
                <w:rFonts w:cs="Times New Roman"/>
                <w:sz w:val="24"/>
                <w:szCs w:val="24"/>
              </w:rPr>
              <w:lastRenderedPageBreak/>
              <w:t>nguyên tắc bảo đảm cạnh tranh về giá cả, chất lượng, tiến độ và khả năng sẵn có.</w:t>
            </w:r>
          </w:p>
          <w:p w14:paraId="1FD88A67"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2. Nhà đầu tư trong nước gồm cá nhân có quốc tịch Việt Nam, tổ chức kinh tế được thành lập và hoạt động theo quy định của pháp luật Việt Nam trừ tổ chức kinh tế quy định tại khoản 1 Điều này thực hiện, tham gia thực hiện đầu tư, tham gia đấu thầu lựa chọn nhà đầu tư dự án điện gió ngoài khơi phải đáp ứng các điều kiện sau:</w:t>
            </w:r>
          </w:p>
          <w:p w14:paraId="514259DF" w14:textId="77777777" w:rsidR="00B82FC8" w:rsidRPr="00070810" w:rsidRDefault="00B82FC8" w:rsidP="00B82FC8">
            <w:pPr>
              <w:spacing w:after="0" w:line="264" w:lineRule="auto"/>
              <w:jc w:val="both"/>
              <w:rPr>
                <w:rFonts w:cs="Times New Roman"/>
                <w:sz w:val="24"/>
                <w:szCs w:val="24"/>
              </w:rPr>
            </w:pPr>
            <w:r w:rsidRPr="00070810">
              <w:rPr>
                <w:rFonts w:cs="Times New Roman"/>
                <w:sz w:val="24"/>
                <w:szCs w:val="24"/>
              </w:rPr>
              <w:t>a) Có năng lực tài chính, phần vốn trong dự án tối thiểu 5% tổng mức đầu tư dự án dự kiến và tỷ lệ vốn chủ sở hữu trên phần vốn góp tham gia dự án tối thiểu 20%;</w:t>
            </w:r>
          </w:p>
          <w:p w14:paraId="389AE432" w14:textId="797EB2A6" w:rsidR="00B82FC8" w:rsidRDefault="00B82FC8" w:rsidP="00B82FC8">
            <w:pPr>
              <w:spacing w:after="0" w:line="264" w:lineRule="auto"/>
              <w:jc w:val="both"/>
              <w:rPr>
                <w:rFonts w:cs="Times New Roman"/>
                <w:sz w:val="24"/>
                <w:szCs w:val="24"/>
              </w:rPr>
            </w:pPr>
            <w:r w:rsidRPr="00070810">
              <w:rPr>
                <w:rFonts w:cs="Times New Roman"/>
                <w:sz w:val="24"/>
                <w:szCs w:val="24"/>
              </w:rPr>
              <w:t xml:space="preserve">b) Có kinh nghiệm trong việc đầu tư phát triển ít nhất 01 dự án năng lượng được vận hành khai thác tại Việt Nam hoặc các nước trên thế giới, gồm trực tiếp đầu tư hoặc góp vốn đầu tư đáp ứng tỷ lệ quy định tại điểm a khoản này hoặc thực hiện một trong các hoạt động như quản lý dự án, thiết kế, thi công xây dựng. Trường hợp nhiều nhà đầu tư liên danh thì điều kiện về năng lực kinh </w:t>
            </w:r>
            <w:r w:rsidRPr="00070810">
              <w:rPr>
                <w:rFonts w:cs="Times New Roman"/>
                <w:sz w:val="24"/>
                <w:szCs w:val="24"/>
              </w:rPr>
              <w:lastRenderedPageBreak/>
              <w:t>nghiệm được tính bằng tổng năng lực kinh nghiệm của các thành viên trong liên danh.</w:t>
            </w:r>
            <w:r>
              <w:rPr>
                <w:rFonts w:cs="Times New Roman"/>
                <w:sz w:val="24"/>
                <w:szCs w:val="24"/>
              </w:rPr>
              <w:t>”.</w:t>
            </w:r>
          </w:p>
        </w:tc>
        <w:tc>
          <w:tcPr>
            <w:tcW w:w="6237" w:type="dxa"/>
          </w:tcPr>
          <w:p w14:paraId="54801EEF" w14:textId="77777777" w:rsidR="003F4A38" w:rsidRPr="003F4A38" w:rsidRDefault="003F4A38" w:rsidP="003F4A38">
            <w:pPr>
              <w:spacing w:after="0" w:line="264" w:lineRule="auto"/>
              <w:jc w:val="both"/>
              <w:rPr>
                <w:rFonts w:cs="Times New Roman"/>
                <w:b/>
                <w:spacing w:val="4"/>
                <w:sz w:val="24"/>
                <w:szCs w:val="24"/>
                <w:lang w:val="vi-VN"/>
              </w:rPr>
            </w:pPr>
            <w:r w:rsidRPr="003F4A38">
              <w:rPr>
                <w:rFonts w:cs="Times New Roman"/>
                <w:b/>
                <w:spacing w:val="4"/>
                <w:sz w:val="24"/>
                <w:szCs w:val="24"/>
                <w:lang w:val="vi-VN"/>
              </w:rPr>
              <w:lastRenderedPageBreak/>
              <w:t>Điều 8. Điều kiện của doanh nghiệp lập hồ sơ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522F8E91" w14:textId="77777777" w:rsidR="003F4A38" w:rsidRPr="003F4A38" w:rsidRDefault="003F4A38" w:rsidP="003F4A38">
            <w:pPr>
              <w:spacing w:after="0" w:line="264" w:lineRule="auto"/>
              <w:jc w:val="both"/>
              <w:rPr>
                <w:rFonts w:cs="Times New Roman"/>
                <w:spacing w:val="4"/>
                <w:sz w:val="24"/>
                <w:szCs w:val="24"/>
                <w:lang w:val="vi-VN"/>
              </w:rPr>
            </w:pPr>
            <w:r w:rsidRPr="003F4A38">
              <w:rPr>
                <w:rFonts w:cs="Times New Roman"/>
                <w:spacing w:val="4"/>
                <w:sz w:val="24"/>
                <w:szCs w:val="24"/>
                <w:lang w:val="vi-VN"/>
              </w:rPr>
              <w:t>Ngoài các điều kiện theo quy định của pháp luật về điện lực, pháp luật về đấu thầu và pháp luật về đầu tư, doanh nghiệp lập hồ sơ đề nghị chấp thuận chủ trương đầu tư dự án điện gió ngoài khơi phải đáp ứng các điều kiện sau đây:</w:t>
            </w:r>
          </w:p>
          <w:p w14:paraId="057D1F0E" w14:textId="77777777" w:rsidR="003F4A38" w:rsidRPr="003F4A38" w:rsidRDefault="003F4A38" w:rsidP="003F4A38">
            <w:pPr>
              <w:spacing w:after="0" w:line="264" w:lineRule="auto"/>
              <w:jc w:val="both"/>
              <w:rPr>
                <w:rFonts w:cs="Times New Roman"/>
                <w:spacing w:val="4"/>
                <w:sz w:val="24"/>
                <w:szCs w:val="24"/>
                <w:lang w:val="vi-VN"/>
              </w:rPr>
            </w:pPr>
            <w:r w:rsidRPr="003F4A38">
              <w:rPr>
                <w:rFonts w:cs="Times New Roman"/>
                <w:spacing w:val="4"/>
                <w:sz w:val="24"/>
                <w:szCs w:val="24"/>
                <w:lang w:val="vi-VN"/>
              </w:rPr>
              <w:t>1. Đáp ứng điều kiện theo quy định tại khoản 1 Điều 5 của Nghị định này;</w:t>
            </w:r>
          </w:p>
          <w:p w14:paraId="29312F9A" w14:textId="2C1D0F6A" w:rsidR="00B82FC8" w:rsidRPr="00012FB0" w:rsidRDefault="003F4A38" w:rsidP="003F4A38">
            <w:pPr>
              <w:spacing w:after="0" w:line="264" w:lineRule="auto"/>
              <w:jc w:val="both"/>
              <w:rPr>
                <w:rFonts w:cs="Times New Roman"/>
                <w:b/>
                <w:spacing w:val="4"/>
                <w:sz w:val="24"/>
                <w:szCs w:val="24"/>
                <w:lang w:val="vi-VN"/>
              </w:rPr>
            </w:pPr>
            <w:r w:rsidRPr="003F4A38">
              <w:rPr>
                <w:rFonts w:cs="Times New Roman"/>
                <w:spacing w:val="4"/>
                <w:sz w:val="24"/>
                <w:szCs w:val="24"/>
                <w:lang w:val="vi-VN"/>
              </w:rPr>
              <w:t>2. Có vốn chủ sở hữu tối thiểu không thấp hơn 20% tổng vốn đầu tư đối với mỗi dự án điện gió ngoài khơi đề xuất (không gồm vốn đã được giải ngân cho các dự án đang thực hiện và các khoản đầu tư tài chính dài hạn khác).</w:t>
            </w:r>
          </w:p>
        </w:tc>
        <w:tc>
          <w:tcPr>
            <w:tcW w:w="3827" w:type="dxa"/>
          </w:tcPr>
          <w:p w14:paraId="16F3EC6E" w14:textId="77EDBF4E" w:rsidR="00056EFB" w:rsidRPr="00522617" w:rsidRDefault="00056EFB" w:rsidP="00056EFB">
            <w:pPr>
              <w:spacing w:after="0" w:line="264" w:lineRule="auto"/>
              <w:jc w:val="both"/>
              <w:rPr>
                <w:rFonts w:cs="Times New Roman"/>
                <w:spacing w:val="4"/>
                <w:sz w:val="24"/>
                <w:szCs w:val="24"/>
              </w:rPr>
            </w:pPr>
            <w:r w:rsidRPr="00522617">
              <w:rPr>
                <w:rFonts w:cs="Times New Roman"/>
                <w:spacing w:val="4"/>
                <w:sz w:val="24"/>
                <w:szCs w:val="24"/>
              </w:rPr>
              <w:t>Dự án điện gió ngoài khơi là dự án nguồn điện có quy mô và tổng vốn đầu tư lớn (dự án tối thiểu có quy mô công suất là 500 MW và tổng vốn đầu tư ước tính khoảng 50.000 ty đồng). Do đó, đòi hỏi doanh nghiệp để tham gia đầu tư dự án phải có tiềm lực tài chính lớn, có uy tín để có thể vay vốn từ các tổ chức tín dụng trong và ngoài nước, có kinh nghiệm thực hiện dự án năng lượng</w:t>
            </w:r>
            <w:r>
              <w:rPr>
                <w:rFonts w:cs="Times New Roman"/>
                <w:spacing w:val="4"/>
                <w:sz w:val="24"/>
                <w:szCs w:val="24"/>
              </w:rPr>
              <w:t>.</w:t>
            </w:r>
          </w:p>
          <w:p w14:paraId="5EFBEDD3" w14:textId="77777777" w:rsidR="00B82FC8" w:rsidRPr="00522617" w:rsidRDefault="00B82FC8" w:rsidP="00522617">
            <w:pPr>
              <w:spacing w:after="0" w:line="264" w:lineRule="auto"/>
              <w:jc w:val="both"/>
              <w:rPr>
                <w:rFonts w:cs="Times New Roman"/>
                <w:spacing w:val="4"/>
                <w:sz w:val="24"/>
                <w:szCs w:val="24"/>
              </w:rPr>
            </w:pPr>
          </w:p>
        </w:tc>
      </w:tr>
      <w:tr w:rsidR="002C29A1" w:rsidRPr="00A22F97" w14:paraId="1CBA9209" w14:textId="77777777" w:rsidTr="001C66E3">
        <w:trPr>
          <w:jc w:val="center"/>
        </w:trPr>
        <w:tc>
          <w:tcPr>
            <w:tcW w:w="672" w:type="dxa"/>
          </w:tcPr>
          <w:p w14:paraId="1A0A3E3D" w14:textId="77777777" w:rsidR="00F7413F" w:rsidRPr="00A22F97" w:rsidRDefault="00F7413F" w:rsidP="00AD7491">
            <w:pPr>
              <w:spacing w:after="0" w:line="264" w:lineRule="auto"/>
              <w:ind w:firstLine="181"/>
              <w:jc w:val="center"/>
              <w:rPr>
                <w:rFonts w:cs="Times New Roman"/>
                <w:spacing w:val="4"/>
                <w:sz w:val="24"/>
                <w:szCs w:val="24"/>
                <w:lang w:val="vi-VN"/>
              </w:rPr>
            </w:pPr>
          </w:p>
        </w:tc>
        <w:tc>
          <w:tcPr>
            <w:tcW w:w="3718" w:type="dxa"/>
          </w:tcPr>
          <w:p w14:paraId="1BC6E339" w14:textId="77777777" w:rsidR="00F7413F" w:rsidRDefault="00D304A8" w:rsidP="00406E8A">
            <w:pPr>
              <w:spacing w:after="0" w:line="264" w:lineRule="auto"/>
              <w:jc w:val="both"/>
              <w:rPr>
                <w:sz w:val="24"/>
                <w:szCs w:val="24"/>
              </w:rPr>
            </w:pPr>
            <w:r>
              <w:rPr>
                <w:sz w:val="24"/>
                <w:szCs w:val="24"/>
              </w:rPr>
              <w:t>Việc tiếp nhận, giải quyết hồ sơ chấp thuận chủ trương đầu tư dự án điện gió ngoài khơi đã được quy định tại Luật Đầu tư và Nghị định số 31/2021/NĐ-CP được sửa đổi, bổ sung bởi Nghị định số 239/2025/NĐ-CP.</w:t>
            </w:r>
          </w:p>
          <w:p w14:paraId="33BC4F9E" w14:textId="77777777" w:rsidR="00D304A8" w:rsidRDefault="00D304A8" w:rsidP="00406E8A">
            <w:pPr>
              <w:spacing w:after="0" w:line="264" w:lineRule="auto"/>
              <w:jc w:val="both"/>
              <w:rPr>
                <w:sz w:val="24"/>
                <w:szCs w:val="24"/>
              </w:rPr>
            </w:pPr>
            <w:r>
              <w:rPr>
                <w:sz w:val="24"/>
                <w:szCs w:val="24"/>
              </w:rPr>
              <w:t>Việc tiếp nhận, giải quyết hồ sơ khảo sát dự án điện gió ngoài khơi được quy định tại Nghị định số 11/2021/NĐ-CP được sửa đổi, bổ sung bởi Nghị định số 65/2025/NĐ-CP.</w:t>
            </w:r>
          </w:p>
          <w:p w14:paraId="16026D39" w14:textId="6A95C514" w:rsidR="00D304A8" w:rsidRPr="00D304A8" w:rsidRDefault="00D304A8" w:rsidP="00406E8A">
            <w:pPr>
              <w:spacing w:after="0" w:line="264" w:lineRule="auto"/>
              <w:jc w:val="both"/>
              <w:rPr>
                <w:sz w:val="24"/>
                <w:szCs w:val="24"/>
              </w:rPr>
            </w:pPr>
            <w:r>
              <w:rPr>
                <w:sz w:val="24"/>
                <w:szCs w:val="24"/>
              </w:rPr>
              <w:t>Chưa có quy định về cơ chế phối hợp giữa cơ quan tiếp nhận hồ sơ đề nghị khảo sát dự án điện gió ngoài khơi và cơ quan tiếp nhận hồ sơ đề nghị chấp thuận chủ trương đầu tư.</w:t>
            </w:r>
          </w:p>
        </w:tc>
        <w:tc>
          <w:tcPr>
            <w:tcW w:w="6237" w:type="dxa"/>
          </w:tcPr>
          <w:p w14:paraId="57982248" w14:textId="77777777" w:rsidR="005F0AE6" w:rsidRPr="005F0AE6" w:rsidRDefault="005F0AE6" w:rsidP="005F0AE6">
            <w:pPr>
              <w:spacing w:after="0" w:line="264" w:lineRule="auto"/>
              <w:jc w:val="both"/>
              <w:rPr>
                <w:b/>
                <w:sz w:val="24"/>
                <w:szCs w:val="24"/>
              </w:rPr>
            </w:pPr>
            <w:r w:rsidRPr="005F0AE6">
              <w:rPr>
                <w:b/>
                <w:sz w:val="24"/>
                <w:szCs w:val="24"/>
              </w:rPr>
              <w:t>Điều 9.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2025 - 2030</w:t>
            </w:r>
          </w:p>
          <w:p w14:paraId="02680591" w14:textId="77777777" w:rsidR="005F0AE6" w:rsidRPr="005F0AE6" w:rsidRDefault="005F0AE6" w:rsidP="005F0AE6">
            <w:pPr>
              <w:spacing w:after="0" w:line="264" w:lineRule="auto"/>
              <w:jc w:val="both"/>
              <w:rPr>
                <w:sz w:val="24"/>
                <w:szCs w:val="24"/>
              </w:rPr>
            </w:pPr>
            <w:r w:rsidRPr="005F0AE6">
              <w:rPr>
                <w:sz w:val="24"/>
                <w:szCs w:val="24"/>
              </w:rPr>
              <w:t>1. Bộ Nông nghiệp và Môi trường không giải quyết hồ sơ đề nghị khảo sát dự án điện gió ngoài khơi đối với các dự án điện gió ngoài khơi trong quy hoạch phát triển điện lực và có dự kiến giai đoạn vận hành năm 2025 - 2030.</w:t>
            </w:r>
          </w:p>
          <w:p w14:paraId="6BAA443F" w14:textId="77777777" w:rsidR="005F0AE6" w:rsidRPr="005F0AE6" w:rsidRDefault="005F0AE6" w:rsidP="005F0AE6">
            <w:pPr>
              <w:spacing w:after="0" w:line="264" w:lineRule="auto"/>
              <w:jc w:val="both"/>
              <w:rPr>
                <w:sz w:val="24"/>
                <w:szCs w:val="24"/>
              </w:rPr>
            </w:pPr>
            <w:r w:rsidRPr="005F0AE6">
              <w:rPr>
                <w:sz w:val="24"/>
                <w:szCs w:val="24"/>
              </w:rPr>
              <w:t>2. Doanh nghiệp đáp ứng quy định tại Điều 8 của Nghị định nộp 01 bộ hồ sơ đề nghị chấp thuận chủ trương đầu tư dự án theo quy định tại khoản 1 Điều 7 của Nghị định này và kèm theo bản điện tử của hồ sơ gửi cho Bộ Tài chính.</w:t>
            </w:r>
          </w:p>
          <w:p w14:paraId="7E09040B" w14:textId="77777777" w:rsidR="005F0AE6" w:rsidRPr="005F0AE6" w:rsidRDefault="005F0AE6" w:rsidP="005F0AE6">
            <w:pPr>
              <w:spacing w:after="0" w:line="264" w:lineRule="auto"/>
              <w:jc w:val="both"/>
              <w:rPr>
                <w:sz w:val="24"/>
                <w:szCs w:val="24"/>
              </w:rPr>
            </w:pPr>
            <w:r w:rsidRPr="005F0AE6">
              <w:rPr>
                <w:sz w:val="24"/>
                <w:szCs w:val="24"/>
              </w:rPr>
              <w:t>3. Thời gian tiếp nhận, gửi lấy ý kiến hồ sơ đề nghị chấp thuận chủ trương đầu tư thực hiện như sau:</w:t>
            </w:r>
          </w:p>
          <w:p w14:paraId="3AED2523" w14:textId="77777777" w:rsidR="005F0AE6" w:rsidRPr="005F0AE6" w:rsidRDefault="005F0AE6" w:rsidP="005F0AE6">
            <w:pPr>
              <w:spacing w:after="0" w:line="264" w:lineRule="auto"/>
              <w:jc w:val="both"/>
              <w:rPr>
                <w:sz w:val="24"/>
                <w:szCs w:val="24"/>
              </w:rPr>
            </w:pPr>
            <w:r w:rsidRPr="005F0AE6">
              <w:rPr>
                <w:sz w:val="24"/>
                <w:szCs w:val="24"/>
              </w:rPr>
              <w:t>a) Bộ Tài chính công khai thông tin trên cổng thông tin điện tử của Bộ Tài chính về việc nhận hồ sơ đề nghị chấp thuận chủ trương đầu tư điện gió ngoài khơi trong vòng 03 (ba) ngày làm việc từ ngày nhận được hồ sơ hợp lệ của nhà đầu tư;</w:t>
            </w:r>
          </w:p>
          <w:p w14:paraId="36B69565" w14:textId="77777777" w:rsidR="005F0AE6" w:rsidRPr="005F0AE6" w:rsidRDefault="005F0AE6" w:rsidP="005F0AE6">
            <w:pPr>
              <w:spacing w:after="0" w:line="264" w:lineRule="auto"/>
              <w:jc w:val="both"/>
              <w:rPr>
                <w:sz w:val="24"/>
                <w:szCs w:val="24"/>
              </w:rPr>
            </w:pPr>
            <w:r w:rsidRPr="005F0AE6">
              <w:rPr>
                <w:sz w:val="24"/>
                <w:szCs w:val="24"/>
              </w:rPr>
              <w:t>b) Hồ sơ đề xuất gửi đến Bộ Tài chính trong thời hạn 20 (hai mươi) ngày kể từ thời điểm nhận được hồ sơ hợp lệ đầu tiên của nhà đầu tư sẽ được Bộ Tài chính tiếp nhận, xem xét, giải quyết theo quy định;</w:t>
            </w:r>
          </w:p>
          <w:p w14:paraId="158E09D4" w14:textId="77777777" w:rsidR="005F0AE6" w:rsidRPr="005F0AE6" w:rsidRDefault="005F0AE6" w:rsidP="005F0AE6">
            <w:pPr>
              <w:spacing w:after="0" w:line="264" w:lineRule="auto"/>
              <w:jc w:val="both"/>
              <w:rPr>
                <w:sz w:val="24"/>
                <w:szCs w:val="24"/>
              </w:rPr>
            </w:pPr>
            <w:r w:rsidRPr="005F0AE6">
              <w:rPr>
                <w:sz w:val="24"/>
                <w:szCs w:val="24"/>
              </w:rPr>
              <w:lastRenderedPageBreak/>
              <w:t>c) Trong thời hạn chưa có kết quả giải quyết hồ sơ tại điểm a, điểm b khoản này, Bộ Tài chính thông báo trên cổng dịch vụ công việc từ chối tiếp nhận, giải quyết các hồ sơ được gửi đến Bộ Tài chính sau 20 (hai mươi) ngày kể từ thời điểm Bộ Tài chính nhận được hồ sơ hợp lệ đầu tiên của nhà đầu tư.</w:t>
            </w:r>
          </w:p>
          <w:p w14:paraId="051BBE18" w14:textId="77777777" w:rsidR="005F0AE6" w:rsidRPr="005F0AE6" w:rsidRDefault="005F0AE6" w:rsidP="005F0AE6">
            <w:pPr>
              <w:spacing w:after="0" w:line="264" w:lineRule="auto"/>
              <w:jc w:val="both"/>
              <w:rPr>
                <w:sz w:val="24"/>
                <w:szCs w:val="24"/>
              </w:rPr>
            </w:pPr>
            <w:r w:rsidRPr="005F0AE6">
              <w:rPr>
                <w:sz w:val="24"/>
                <w:szCs w:val="24"/>
              </w:rPr>
              <w:t>4. Trường hợp có từ 02 (hai) nhà đầu tư trở lên cùng nộp hồ sơ hợp lệ đề nghị thực hiện cùng 01 (một) dự án điện gió ngoài khơi trong thời hạn 20 (hai mươi) ngày làm việc kể từ ngày nhận được hồ sơ hợp lệ của doanh nghiệp đầu tiên thì Bộ Tài chính thực hiện thủ tục sau:</w:t>
            </w:r>
          </w:p>
          <w:p w14:paraId="14585B6A" w14:textId="77777777" w:rsidR="005F0AE6" w:rsidRPr="005F0AE6" w:rsidRDefault="005F0AE6" w:rsidP="005F0AE6">
            <w:pPr>
              <w:spacing w:after="0" w:line="264" w:lineRule="auto"/>
              <w:jc w:val="both"/>
              <w:rPr>
                <w:sz w:val="24"/>
                <w:szCs w:val="24"/>
              </w:rPr>
            </w:pPr>
            <w:r w:rsidRPr="005F0AE6">
              <w:rPr>
                <w:sz w:val="24"/>
                <w:szCs w:val="24"/>
              </w:rPr>
              <w:t xml:space="preserve">a) Thông báo bằng văn bản cho các doanh nghiệp nộp hồ sơ hợp lệ về việc thực hiện thủ tục chấp thuận chủ trương đầu tư và lựa chọn nhà đầu tư theo quy định tại khoản này trong thời hạn 05 (năm) ngày làm việc kể từ ngày kết thúc tiếp nhận hồ sơ theo khoản 3 Điều này. </w:t>
            </w:r>
          </w:p>
          <w:p w14:paraId="1CB7A9EE" w14:textId="77777777" w:rsidR="005F0AE6" w:rsidRPr="005F0AE6" w:rsidRDefault="005F0AE6" w:rsidP="005F0AE6">
            <w:pPr>
              <w:spacing w:after="0" w:line="264" w:lineRule="auto"/>
              <w:jc w:val="both"/>
              <w:rPr>
                <w:sz w:val="24"/>
                <w:szCs w:val="24"/>
              </w:rPr>
            </w:pPr>
            <w:r w:rsidRPr="005F0AE6">
              <w:rPr>
                <w:sz w:val="24"/>
                <w:szCs w:val="24"/>
              </w:rPr>
              <w:t>b) Thực hiện thủ tục lấy ý kiến, thẩm định, chấp thuận chủ trương đầu tư trên cơ sở đề xuất dự án đầu tư của doanh nghiệp theo thứ tự ưu tiên như sau:</w:t>
            </w:r>
          </w:p>
          <w:p w14:paraId="4CFEE0AF" w14:textId="77777777" w:rsidR="005F0AE6" w:rsidRPr="005F0AE6" w:rsidRDefault="005F0AE6" w:rsidP="005F0AE6">
            <w:pPr>
              <w:spacing w:after="0" w:line="264" w:lineRule="auto"/>
              <w:jc w:val="both"/>
              <w:rPr>
                <w:sz w:val="24"/>
                <w:szCs w:val="24"/>
              </w:rPr>
            </w:pPr>
            <w:r w:rsidRPr="005F0AE6">
              <w:rPr>
                <w:sz w:val="24"/>
                <w:szCs w:val="24"/>
              </w:rPr>
              <w:t xml:space="preserve">b1) Hồ sơ đề xuất do doanh nghiệp đã được giao khu vực biển để khảo sát dưới hình thức độc lập hoặc liên danh cho dự án tương ứng với khu vực được giao khảo sát; </w:t>
            </w:r>
          </w:p>
          <w:p w14:paraId="68FE6F84" w14:textId="77777777" w:rsidR="005F0AE6" w:rsidRPr="005F0AE6" w:rsidRDefault="005F0AE6" w:rsidP="005F0AE6">
            <w:pPr>
              <w:spacing w:after="0" w:line="264" w:lineRule="auto"/>
              <w:jc w:val="both"/>
              <w:rPr>
                <w:sz w:val="24"/>
                <w:szCs w:val="24"/>
              </w:rPr>
            </w:pPr>
            <w:r w:rsidRPr="005F0AE6">
              <w:rPr>
                <w:sz w:val="24"/>
                <w:szCs w:val="24"/>
              </w:rPr>
              <w:t xml:space="preserve">b2) Hồ sơ đề xuất có mức giảm giá điện (bằng tiền Việt Nam đồng) so với khung giá tương ứng tại năm đàm phán cao hơn; </w:t>
            </w:r>
          </w:p>
          <w:p w14:paraId="040901E9" w14:textId="77777777" w:rsidR="005F0AE6" w:rsidRPr="005F0AE6" w:rsidRDefault="005F0AE6" w:rsidP="005F0AE6">
            <w:pPr>
              <w:spacing w:after="0" w:line="264" w:lineRule="auto"/>
              <w:jc w:val="both"/>
              <w:rPr>
                <w:sz w:val="24"/>
                <w:szCs w:val="24"/>
              </w:rPr>
            </w:pPr>
            <w:r w:rsidRPr="005F0AE6">
              <w:rPr>
                <w:sz w:val="24"/>
                <w:szCs w:val="24"/>
              </w:rPr>
              <w:t>b3) Hồ sơ do doanh nghiệp đề xuất có tiến độ vận hành sớm hơn;</w:t>
            </w:r>
          </w:p>
          <w:p w14:paraId="689AEAC9" w14:textId="77777777" w:rsidR="005F0AE6" w:rsidRPr="005F0AE6" w:rsidRDefault="005F0AE6" w:rsidP="005F0AE6">
            <w:pPr>
              <w:spacing w:after="0" w:line="264" w:lineRule="auto"/>
              <w:jc w:val="both"/>
              <w:rPr>
                <w:sz w:val="24"/>
                <w:szCs w:val="24"/>
              </w:rPr>
            </w:pPr>
            <w:r w:rsidRPr="005F0AE6">
              <w:rPr>
                <w:sz w:val="24"/>
                <w:szCs w:val="24"/>
              </w:rPr>
              <w:t>b4) Hồ sơ do doanh nghiệp đề xuất có tỷ lệ vốn chủ sở hữu cao hơn hoặc doanh nghiệp có năng lực tài chính, kinh nghiệm tốt hơn;</w:t>
            </w:r>
          </w:p>
          <w:p w14:paraId="1A2E0221" w14:textId="77777777" w:rsidR="005F0AE6" w:rsidRPr="005F0AE6" w:rsidRDefault="005F0AE6" w:rsidP="005F0AE6">
            <w:pPr>
              <w:spacing w:after="0" w:line="264" w:lineRule="auto"/>
              <w:jc w:val="both"/>
              <w:rPr>
                <w:sz w:val="24"/>
                <w:szCs w:val="24"/>
              </w:rPr>
            </w:pPr>
            <w:r w:rsidRPr="005F0AE6">
              <w:rPr>
                <w:sz w:val="24"/>
                <w:szCs w:val="24"/>
              </w:rPr>
              <w:t xml:space="preserve">b5) Thời gian nộp hồ sơ hợp lệ sớm hơn. </w:t>
            </w:r>
          </w:p>
          <w:p w14:paraId="72146F0C" w14:textId="77777777" w:rsidR="005F0AE6" w:rsidRPr="005F0AE6" w:rsidRDefault="005F0AE6" w:rsidP="005F0AE6">
            <w:pPr>
              <w:spacing w:after="0" w:line="264" w:lineRule="auto"/>
              <w:jc w:val="both"/>
              <w:rPr>
                <w:sz w:val="24"/>
                <w:szCs w:val="24"/>
              </w:rPr>
            </w:pPr>
            <w:r w:rsidRPr="005F0AE6">
              <w:rPr>
                <w:sz w:val="24"/>
                <w:szCs w:val="24"/>
              </w:rPr>
              <w:lastRenderedPageBreak/>
              <w:t>c) Trường hợp hồ sơ do doanh nghiệp đề xuất có thứ tự ưu tiên cao nhất không đáp ứng các nội dung thẩm định thì thực hiện thủ tục lấy ý kiến, thẩm định, chấp thuận chủ trương đầu tư đối với hồ sơ do doanh nghiệp đề xuất theo nguyên tắc thứ tự ưu tiên tại điểm b khoản này.</w:t>
            </w:r>
          </w:p>
          <w:p w14:paraId="14F50F01" w14:textId="77777777" w:rsidR="005F0AE6" w:rsidRPr="005F0AE6" w:rsidRDefault="005F0AE6" w:rsidP="005F0AE6">
            <w:pPr>
              <w:spacing w:after="0" w:line="264" w:lineRule="auto"/>
              <w:jc w:val="both"/>
              <w:rPr>
                <w:sz w:val="24"/>
                <w:szCs w:val="24"/>
              </w:rPr>
            </w:pPr>
            <w:r w:rsidRPr="005F0AE6">
              <w:rPr>
                <w:sz w:val="24"/>
                <w:szCs w:val="24"/>
              </w:rPr>
              <w:t>5. Trường hợp quá thời hạn 20 (hai mươi) ngày làm việc kể từ ngày nhận được hồ sơ hợp lệ đầu tiên nhưng chỉ có 01 (một) doanh nghiệp đề xuất chấp thuận chủ trương đầu tư đồng thời nhà đầu tư thì Bộ Tài chính tổ chức thẩm định để trình Thủ tướng Chính phủ quyết định chấp thuận chủ trương đầu tư đồng thời chấp thuận nhà đầu tư dự án theo quy định của pháp luật về đầu tư.</w:t>
            </w:r>
          </w:p>
          <w:p w14:paraId="184D65B8" w14:textId="77777777" w:rsidR="005F0AE6" w:rsidRPr="005F0AE6" w:rsidRDefault="005F0AE6" w:rsidP="005F0AE6">
            <w:pPr>
              <w:spacing w:after="0" w:line="264" w:lineRule="auto"/>
              <w:jc w:val="both"/>
              <w:rPr>
                <w:sz w:val="24"/>
                <w:szCs w:val="24"/>
              </w:rPr>
            </w:pPr>
            <w:r w:rsidRPr="005F0AE6">
              <w:rPr>
                <w:sz w:val="24"/>
                <w:szCs w:val="24"/>
              </w:rPr>
              <w:t>6. Bên mua điện thực hiện đàm phán, giao kết hợp đồng mua bán điện với doanh nghiệp được chấp thuận chủ trương đầu tư đồng thời chấp thuận nhà đầu tư theo quy định hiện hành và cam kết về mức giảm giá điện của doanh nghiệp trong hồ sơ đề nghị chấp thuận chủ trương đầu tư được cấp có thẩm quyền phê duyệt.</w:t>
            </w:r>
          </w:p>
          <w:p w14:paraId="7624ECFC" w14:textId="6C43FAD7" w:rsidR="00F7413F" w:rsidRPr="005D6BAD" w:rsidRDefault="005F0AE6" w:rsidP="005F0AE6">
            <w:pPr>
              <w:spacing w:after="0" w:line="264" w:lineRule="auto"/>
              <w:jc w:val="both"/>
              <w:rPr>
                <w:sz w:val="24"/>
                <w:szCs w:val="24"/>
              </w:rPr>
            </w:pPr>
            <w:r w:rsidRPr="005F0AE6">
              <w:rPr>
                <w:sz w:val="24"/>
                <w:szCs w:val="24"/>
              </w:rPr>
              <w:t>6. Nội dung thẩm định hồ sơ đề nghị chấp thuận chủ trương đầu tư đồng thời chấp thuận nhà đầu tư điện gió ngoài khơi theo quy định của pháp luật về đầu tư và đánh giá điều kiện về quốc phòng, an ninh, chủ quyền quốc gia, tài nguyên - môi trường biển và hải đảo, hàng hải, dầu khí, du lịch.</w:t>
            </w:r>
          </w:p>
        </w:tc>
        <w:tc>
          <w:tcPr>
            <w:tcW w:w="3827" w:type="dxa"/>
          </w:tcPr>
          <w:p w14:paraId="01A4721E" w14:textId="4E14D3AA" w:rsidR="00F7413F" w:rsidRPr="00A22F97" w:rsidRDefault="00C56359" w:rsidP="00AD7491">
            <w:pPr>
              <w:spacing w:after="0" w:line="264" w:lineRule="auto"/>
              <w:jc w:val="both"/>
              <w:rPr>
                <w:rFonts w:cs="Times New Roman"/>
                <w:spacing w:val="4"/>
                <w:sz w:val="24"/>
                <w:szCs w:val="24"/>
              </w:rPr>
            </w:pPr>
            <w:r w:rsidRPr="00C56359">
              <w:rPr>
                <w:rFonts w:cs="Times New Roman"/>
                <w:spacing w:val="4"/>
                <w:sz w:val="24"/>
                <w:szCs w:val="24"/>
              </w:rPr>
              <w:lastRenderedPageBreak/>
              <w:t>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Bộ Tài chính. Do đó, để bảo đảm cơ chế phối hợp giữa hai Bộ trong việc tiếp nhận hồ sơ điện gió ngoài khơi, tránh chồng lấn trong quá trình tổ chức thẩm định, trình cấp có thẩm quyền xem xét, quyết định, cần xây dựng cơ chế phối hợp giữa cơ quan tiếp nhận hồ sơ và cơ quan chủ trì thẩm định hồ sơ; trình tự, thủ tục để tổ chức thẩm định.</w:t>
            </w:r>
            <w:r w:rsidR="00EA4A14">
              <w:rPr>
                <w:rFonts w:cs="Times New Roman"/>
                <w:spacing w:val="4"/>
                <w:sz w:val="24"/>
                <w:szCs w:val="24"/>
              </w:rPr>
              <w:t xml:space="preserve"> Việc quy định nêu trên bảo đảm đồng bộ với nội dung Hồ sơ đề nghị chấp thuận chủ trương đầu tư dự án điện gió ngoài khơi trong quy hoạch phát triển điện lực và dự kiến vận hành trong giai đoạn 2025 - 2030</w:t>
            </w:r>
          </w:p>
        </w:tc>
      </w:tr>
      <w:tr w:rsidR="00C56359" w:rsidRPr="00A22F97" w14:paraId="5799C979" w14:textId="77777777" w:rsidTr="001C66E3">
        <w:trPr>
          <w:jc w:val="center"/>
        </w:trPr>
        <w:tc>
          <w:tcPr>
            <w:tcW w:w="672" w:type="dxa"/>
          </w:tcPr>
          <w:p w14:paraId="28764634" w14:textId="77777777" w:rsidR="00C56359" w:rsidRPr="00A22F97" w:rsidRDefault="00C56359" w:rsidP="00C56359">
            <w:pPr>
              <w:spacing w:after="0" w:line="264" w:lineRule="auto"/>
              <w:ind w:firstLine="181"/>
              <w:jc w:val="center"/>
              <w:rPr>
                <w:rFonts w:cs="Times New Roman"/>
                <w:spacing w:val="4"/>
                <w:sz w:val="24"/>
                <w:szCs w:val="24"/>
                <w:lang w:val="vi-VN"/>
              </w:rPr>
            </w:pPr>
          </w:p>
        </w:tc>
        <w:tc>
          <w:tcPr>
            <w:tcW w:w="3718" w:type="dxa"/>
          </w:tcPr>
          <w:p w14:paraId="60646FDA" w14:textId="77777777" w:rsidR="00C56359" w:rsidRDefault="00C56359" w:rsidP="00C56359">
            <w:pPr>
              <w:spacing w:after="0" w:line="264" w:lineRule="auto"/>
              <w:jc w:val="both"/>
              <w:rPr>
                <w:sz w:val="24"/>
                <w:szCs w:val="24"/>
              </w:rPr>
            </w:pPr>
            <w:r>
              <w:rPr>
                <w:sz w:val="24"/>
                <w:szCs w:val="24"/>
              </w:rPr>
              <w:t xml:space="preserve">Việc tiếp nhận, giải quyết hồ sơ chấp thuận chủ trương đầu tư dự án điện gió ngoài khơi đã được quy định tại Luật Đầu tư và Nghị định số 31/2021/NĐ-CP được sửa đổi, bổ </w:t>
            </w:r>
            <w:r>
              <w:rPr>
                <w:sz w:val="24"/>
                <w:szCs w:val="24"/>
              </w:rPr>
              <w:lastRenderedPageBreak/>
              <w:t>sung bởi Nghị định số 239/2025/NĐ-CP.</w:t>
            </w:r>
          </w:p>
          <w:p w14:paraId="0823D651" w14:textId="77777777" w:rsidR="00C56359" w:rsidRDefault="00C56359" w:rsidP="00C56359">
            <w:pPr>
              <w:spacing w:after="0" w:line="264" w:lineRule="auto"/>
              <w:jc w:val="both"/>
              <w:rPr>
                <w:sz w:val="24"/>
                <w:szCs w:val="24"/>
              </w:rPr>
            </w:pPr>
            <w:r>
              <w:rPr>
                <w:sz w:val="24"/>
                <w:szCs w:val="24"/>
              </w:rPr>
              <w:t>Việc tiếp nhận, giải quyết hồ sơ khảo sát dự án điện gió ngoài khơi được quy định tại Nghị định số 11/2021/NĐ-CP được sửa đổi, bổ sung bởi Nghị định số 65/2025/NĐ-CP.</w:t>
            </w:r>
          </w:p>
          <w:p w14:paraId="5C6FF834" w14:textId="61E185EA" w:rsidR="00C56359" w:rsidRPr="00A22F97" w:rsidRDefault="00C56359" w:rsidP="00C56359">
            <w:pPr>
              <w:spacing w:after="0" w:line="264" w:lineRule="auto"/>
              <w:jc w:val="both"/>
              <w:rPr>
                <w:sz w:val="24"/>
                <w:szCs w:val="24"/>
                <w:lang w:val="vi-VN"/>
              </w:rPr>
            </w:pPr>
            <w:r>
              <w:rPr>
                <w:sz w:val="24"/>
                <w:szCs w:val="24"/>
              </w:rPr>
              <w:t>Chưa có quy định về cơ chế phối hợp giữa cơ quan tiếp nhận hồ sơ đề nghị khảo sát dự án điện gió ngoài khơi và cơ quan tiếp nhận hồ sơ đề nghị chấp thuận chủ trương đầu tư.</w:t>
            </w:r>
          </w:p>
        </w:tc>
        <w:tc>
          <w:tcPr>
            <w:tcW w:w="6237" w:type="dxa"/>
          </w:tcPr>
          <w:p w14:paraId="364EA00F" w14:textId="77777777" w:rsidR="0028364F" w:rsidRPr="0028364F" w:rsidRDefault="0028364F" w:rsidP="0028364F">
            <w:pPr>
              <w:spacing w:after="0" w:line="264" w:lineRule="auto"/>
              <w:jc w:val="both"/>
              <w:rPr>
                <w:b/>
                <w:sz w:val="24"/>
                <w:szCs w:val="24"/>
                <w:lang w:val="vi-VN"/>
              </w:rPr>
            </w:pPr>
            <w:r w:rsidRPr="0028364F">
              <w:rPr>
                <w:b/>
                <w:sz w:val="24"/>
                <w:szCs w:val="24"/>
                <w:lang w:val="vi-VN"/>
              </w:rPr>
              <w:lastRenderedPageBreak/>
              <w:t xml:space="preserve">Điều 10.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w:t>
            </w:r>
            <w:r w:rsidRPr="0028364F">
              <w:rPr>
                <w:b/>
                <w:sz w:val="24"/>
                <w:szCs w:val="24"/>
                <w:lang w:val="vi-VN"/>
              </w:rPr>
              <w:lastRenderedPageBreak/>
              <w:t>triển điện lực và dự kiến vận hành trong giai đoạn 2031 – 2035</w:t>
            </w:r>
          </w:p>
          <w:p w14:paraId="015F29A2" w14:textId="77777777" w:rsidR="0028364F" w:rsidRPr="0028364F" w:rsidRDefault="0028364F" w:rsidP="0028364F">
            <w:pPr>
              <w:spacing w:after="0" w:line="264" w:lineRule="auto"/>
              <w:jc w:val="both"/>
              <w:rPr>
                <w:sz w:val="24"/>
                <w:szCs w:val="24"/>
                <w:lang w:val="vi-VN"/>
              </w:rPr>
            </w:pPr>
            <w:r w:rsidRPr="0028364F">
              <w:rPr>
                <w:sz w:val="24"/>
                <w:szCs w:val="24"/>
                <w:lang w:val="vi-VN"/>
              </w:rPr>
              <w:t>1. Sở Tài chính, Cơ quan đăng ký đầu tư thuộc Uỷ ban nhân dân cấp tỉnh nơi có điểm gom công suất dự án điện gió ngoài khơi không tiếp nhận hồ sơ đề nghị chấp thuận chủ trương đầu tư đối với các dự án điện gió ngoài khơi trong quy hoạch phát triển điện lực và dự kiến vận hành trong giai đoạn 2031 – 2035 khi chưa có kết quả khảo sát thực địa dự án.</w:t>
            </w:r>
          </w:p>
          <w:p w14:paraId="3ACCE40C" w14:textId="77777777" w:rsidR="0028364F" w:rsidRPr="0028364F" w:rsidRDefault="0028364F" w:rsidP="0028364F">
            <w:pPr>
              <w:spacing w:after="0" w:line="264" w:lineRule="auto"/>
              <w:jc w:val="both"/>
              <w:rPr>
                <w:sz w:val="24"/>
                <w:szCs w:val="24"/>
                <w:lang w:val="vi-VN"/>
              </w:rPr>
            </w:pPr>
            <w:r w:rsidRPr="0028364F">
              <w:rPr>
                <w:sz w:val="24"/>
                <w:szCs w:val="24"/>
                <w:lang w:val="vi-VN"/>
              </w:rPr>
              <w:t>2. Bộ Nông nghiệp và Môi trường tiếp nhận hồ sơ đề xuất khảo sát dự án điện gió ngoài khơi trong quy hoạch phát triển điện lực và dự kiến vận hành trong giai đoạn 2031 – 2035, thực hiện thẩm định theo quy định của pháp luật về tài nguyên, môi trường biển và hải đảo. Bộ Nông nghiệp và Môi trường có trách nghiệm gửi kết quả xử lý cho Bộ Công Thương, Uỷ ban nhân dân cấp tỉnh nơi có điểm gom công suất dự án điện gió ngoài khơi.</w:t>
            </w:r>
          </w:p>
          <w:p w14:paraId="6155830A" w14:textId="77777777" w:rsidR="0028364F" w:rsidRPr="0028364F" w:rsidRDefault="0028364F" w:rsidP="0028364F">
            <w:pPr>
              <w:spacing w:after="0" w:line="264" w:lineRule="auto"/>
              <w:jc w:val="both"/>
              <w:rPr>
                <w:sz w:val="24"/>
                <w:szCs w:val="24"/>
                <w:lang w:val="vi-VN"/>
              </w:rPr>
            </w:pPr>
            <w:r w:rsidRPr="0028364F">
              <w:rPr>
                <w:sz w:val="24"/>
                <w:szCs w:val="24"/>
                <w:lang w:val="vi-VN"/>
              </w:rPr>
              <w:t>3. Doanh nghiệp đáp ứng quy định tại Điều 8 của Nghị định này nộp 01 (một) bộ hồ sơ đề nghị chấp thuận chủ trương đầu tư dự án theo quy định tại khoản 2 Điều 7 của Nghị định này và kèm theo bản điện tử của hồ sơ gửi cho Sở Tài chính, Cơ quan đăng ký đầu tư thuộc Uỷ ban nhân dân cấp tỉnh nơi có điểm gom công suất dự án điện gió ngoài khơi. Sở Tài chính, Cơ quan đăng ký đầu tư thuộc Uỷ ban nhân dân cấp tỉnh nơi có điểm gom công suất dự án điện gió ngoài khơi tổ chức thẩm định theo quy định của pháp luật hiện hành.</w:t>
            </w:r>
          </w:p>
          <w:p w14:paraId="4E91CF63" w14:textId="7799FE4E" w:rsidR="00C56359" w:rsidRPr="00A22F97" w:rsidRDefault="0028364F" w:rsidP="0028364F">
            <w:pPr>
              <w:spacing w:after="0" w:line="264" w:lineRule="auto"/>
              <w:jc w:val="both"/>
              <w:rPr>
                <w:sz w:val="24"/>
                <w:szCs w:val="24"/>
                <w:lang w:val="vi-VN"/>
              </w:rPr>
            </w:pPr>
            <w:r w:rsidRPr="0028364F">
              <w:rPr>
                <w:sz w:val="24"/>
                <w:szCs w:val="24"/>
                <w:lang w:val="vi-VN"/>
              </w:rPr>
              <w:t>4. Nội dung thẩm định hồ sơ đề nghị chấp thuận chủ trương đầu tư theo quy định của pháp luật về đầu tư và đánh giá điều kiện về quốc phòng, an ninh, chủ quyền quốc gia, tài nguyên, môi trường biển và hải đảo, hàng hải, dầu khí, du lịch.</w:t>
            </w:r>
          </w:p>
        </w:tc>
        <w:tc>
          <w:tcPr>
            <w:tcW w:w="3827" w:type="dxa"/>
          </w:tcPr>
          <w:p w14:paraId="4ACDE367" w14:textId="3C56D69D" w:rsidR="00C56359" w:rsidRPr="00A22F97" w:rsidRDefault="0012339D" w:rsidP="00C56359">
            <w:pPr>
              <w:spacing w:after="0" w:line="264" w:lineRule="auto"/>
              <w:jc w:val="both"/>
              <w:rPr>
                <w:rFonts w:cs="Times New Roman"/>
                <w:spacing w:val="4"/>
                <w:sz w:val="24"/>
                <w:szCs w:val="24"/>
              </w:rPr>
            </w:pPr>
            <w:r w:rsidRPr="0012339D">
              <w:rPr>
                <w:rFonts w:cs="Times New Roman"/>
                <w:spacing w:val="4"/>
                <w:sz w:val="24"/>
                <w:szCs w:val="24"/>
              </w:rPr>
              <w:lastRenderedPageBreak/>
              <w:t xml:space="preserve">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Bộ </w:t>
            </w:r>
            <w:r w:rsidRPr="0012339D">
              <w:rPr>
                <w:rFonts w:cs="Times New Roman"/>
                <w:spacing w:val="4"/>
                <w:sz w:val="24"/>
                <w:szCs w:val="24"/>
              </w:rPr>
              <w:lastRenderedPageBreak/>
              <w:t>Tài chính. Do đó, để bảo đảm cơ chế phối hợp giữa hai Bộ trong việc tiếp nhận hồ sơ điện gió ngoài khơi, tránh chồng lấn trong quá trình tổ chức thẩm định, trình cấp có thẩm quyền xem xét, quyết định, cần xây dựng cơ chế phối hợp giữa cơ quan tiếp nhận hồ sơ và cơ quan chủ trì thẩm định hồ sơ; trình tự, thủ tục để tổ chức thẩm định. Việc quy định nêu trên bảo đảm đồng bộ với nội dung Hồ sơ đề nghị chấp thuận chủ trương đầu tư dự án điện gió ngoài khơi trong quy hoạch phát triển điện lực và dự kiến vận hành trong giai đoạn 20</w:t>
            </w:r>
            <w:r w:rsidR="001A0CEB">
              <w:rPr>
                <w:rFonts w:cs="Times New Roman"/>
                <w:spacing w:val="4"/>
                <w:sz w:val="24"/>
                <w:szCs w:val="24"/>
              </w:rPr>
              <w:t>31</w:t>
            </w:r>
            <w:r w:rsidRPr="0012339D">
              <w:rPr>
                <w:rFonts w:cs="Times New Roman"/>
                <w:spacing w:val="4"/>
                <w:sz w:val="24"/>
                <w:szCs w:val="24"/>
              </w:rPr>
              <w:t xml:space="preserve"> - 203</w:t>
            </w:r>
            <w:r w:rsidR="001A0CEB">
              <w:rPr>
                <w:rFonts w:cs="Times New Roman"/>
                <w:spacing w:val="4"/>
                <w:sz w:val="24"/>
                <w:szCs w:val="24"/>
              </w:rPr>
              <w:t>5</w:t>
            </w:r>
          </w:p>
        </w:tc>
      </w:tr>
      <w:tr w:rsidR="00C56359" w:rsidRPr="00A22F97" w14:paraId="08036DC8" w14:textId="77777777" w:rsidTr="001C66E3">
        <w:trPr>
          <w:jc w:val="center"/>
        </w:trPr>
        <w:tc>
          <w:tcPr>
            <w:tcW w:w="672" w:type="dxa"/>
          </w:tcPr>
          <w:p w14:paraId="2F1C9402" w14:textId="77777777" w:rsidR="00C56359" w:rsidRPr="00A22F97" w:rsidRDefault="00C56359" w:rsidP="00C56359">
            <w:pPr>
              <w:spacing w:after="0" w:line="264" w:lineRule="auto"/>
              <w:jc w:val="center"/>
              <w:rPr>
                <w:rFonts w:cs="Times New Roman"/>
                <w:spacing w:val="4"/>
                <w:sz w:val="24"/>
                <w:szCs w:val="24"/>
              </w:rPr>
            </w:pPr>
          </w:p>
        </w:tc>
        <w:tc>
          <w:tcPr>
            <w:tcW w:w="3718" w:type="dxa"/>
          </w:tcPr>
          <w:p w14:paraId="7666EC96" w14:textId="77777777" w:rsidR="00C56359" w:rsidRPr="00A22F97" w:rsidRDefault="00C56359" w:rsidP="00C56359">
            <w:pPr>
              <w:spacing w:after="0" w:line="264" w:lineRule="auto"/>
              <w:jc w:val="both"/>
              <w:rPr>
                <w:rFonts w:cs="Times New Roman"/>
                <w:sz w:val="24"/>
                <w:szCs w:val="24"/>
              </w:rPr>
            </w:pPr>
          </w:p>
        </w:tc>
        <w:tc>
          <w:tcPr>
            <w:tcW w:w="6237" w:type="dxa"/>
          </w:tcPr>
          <w:p w14:paraId="658F2ADB" w14:textId="60ED8806" w:rsidR="00C56359" w:rsidRPr="00A22F97" w:rsidRDefault="00C56359" w:rsidP="00C56359">
            <w:pPr>
              <w:widowControl w:val="0"/>
              <w:shd w:val="clear" w:color="auto" w:fill="FFFFFF"/>
              <w:tabs>
                <w:tab w:val="left" w:pos="567"/>
              </w:tabs>
              <w:spacing w:after="0" w:line="264" w:lineRule="auto"/>
              <w:jc w:val="both"/>
              <w:rPr>
                <w:b/>
                <w:bCs/>
                <w:sz w:val="24"/>
                <w:szCs w:val="24"/>
              </w:rPr>
            </w:pPr>
            <w:r w:rsidRPr="00A22F97">
              <w:rPr>
                <w:b/>
                <w:bCs/>
                <w:sz w:val="24"/>
                <w:szCs w:val="24"/>
                <w:lang w:val="vi"/>
              </w:rPr>
              <w:t>Điều 1</w:t>
            </w:r>
            <w:r w:rsidR="00DD6B6B">
              <w:rPr>
                <w:b/>
                <w:bCs/>
                <w:sz w:val="24"/>
                <w:szCs w:val="24"/>
              </w:rPr>
              <w:t>1</w:t>
            </w:r>
            <w:r w:rsidRPr="00A22F97">
              <w:rPr>
                <w:b/>
                <w:bCs/>
                <w:sz w:val="24"/>
                <w:szCs w:val="24"/>
                <w:lang w:val="vi"/>
              </w:rPr>
              <w:t>. Tổ chức thực hiện</w:t>
            </w:r>
          </w:p>
        </w:tc>
        <w:tc>
          <w:tcPr>
            <w:tcW w:w="3827" w:type="dxa"/>
          </w:tcPr>
          <w:p w14:paraId="406BF0D8" w14:textId="77777777" w:rsidR="00C56359" w:rsidRPr="00A22F97" w:rsidRDefault="00C56359" w:rsidP="00C56359">
            <w:pPr>
              <w:spacing w:after="0" w:line="264" w:lineRule="auto"/>
              <w:jc w:val="both"/>
              <w:rPr>
                <w:sz w:val="24"/>
                <w:szCs w:val="24"/>
              </w:rPr>
            </w:pPr>
          </w:p>
        </w:tc>
      </w:tr>
      <w:tr w:rsidR="00C56359" w:rsidRPr="00A22F97" w14:paraId="59F91BAD" w14:textId="77777777" w:rsidTr="001C66E3">
        <w:trPr>
          <w:jc w:val="center"/>
        </w:trPr>
        <w:tc>
          <w:tcPr>
            <w:tcW w:w="672" w:type="dxa"/>
          </w:tcPr>
          <w:p w14:paraId="3EC56CC7" w14:textId="77777777" w:rsidR="00C56359" w:rsidRPr="00A22F97" w:rsidRDefault="00C56359" w:rsidP="00C56359">
            <w:pPr>
              <w:spacing w:after="0" w:line="264" w:lineRule="auto"/>
              <w:jc w:val="center"/>
              <w:rPr>
                <w:rFonts w:cs="Times New Roman"/>
                <w:spacing w:val="4"/>
                <w:sz w:val="24"/>
                <w:szCs w:val="24"/>
              </w:rPr>
            </w:pPr>
          </w:p>
        </w:tc>
        <w:tc>
          <w:tcPr>
            <w:tcW w:w="3718" w:type="dxa"/>
          </w:tcPr>
          <w:p w14:paraId="36EAF6AB" w14:textId="77777777" w:rsidR="00C56359" w:rsidRPr="00A22F97" w:rsidRDefault="00C56359" w:rsidP="00C56359">
            <w:pPr>
              <w:spacing w:after="0" w:line="264" w:lineRule="auto"/>
              <w:jc w:val="both"/>
              <w:rPr>
                <w:rFonts w:cs="Times New Roman"/>
                <w:sz w:val="24"/>
                <w:szCs w:val="24"/>
              </w:rPr>
            </w:pPr>
          </w:p>
        </w:tc>
        <w:tc>
          <w:tcPr>
            <w:tcW w:w="6237" w:type="dxa"/>
          </w:tcPr>
          <w:p w14:paraId="6F05D8EE" w14:textId="6AA4CBC7" w:rsidR="00C56359" w:rsidRPr="00A22F97" w:rsidRDefault="00C56359" w:rsidP="00C56359">
            <w:pPr>
              <w:widowControl w:val="0"/>
              <w:shd w:val="clear" w:color="auto" w:fill="FFFFFF"/>
              <w:tabs>
                <w:tab w:val="left" w:pos="567"/>
              </w:tabs>
              <w:spacing w:after="0" w:line="264" w:lineRule="auto"/>
              <w:jc w:val="both"/>
              <w:rPr>
                <w:b/>
                <w:bCs/>
                <w:sz w:val="24"/>
                <w:szCs w:val="24"/>
              </w:rPr>
            </w:pPr>
            <w:r w:rsidRPr="00A22F97">
              <w:rPr>
                <w:b/>
                <w:bCs/>
                <w:sz w:val="24"/>
                <w:szCs w:val="24"/>
                <w:lang w:val="vi-VN"/>
              </w:rPr>
              <w:t>Điều 1</w:t>
            </w:r>
            <w:r w:rsidR="00DD6B6B">
              <w:rPr>
                <w:b/>
                <w:bCs/>
                <w:sz w:val="24"/>
                <w:szCs w:val="24"/>
              </w:rPr>
              <w:t>2</w:t>
            </w:r>
            <w:r w:rsidRPr="00A22F97">
              <w:rPr>
                <w:b/>
                <w:bCs/>
                <w:sz w:val="24"/>
                <w:szCs w:val="24"/>
                <w:lang w:val="vi-VN"/>
              </w:rPr>
              <w:t>. Điều khoản thi hành</w:t>
            </w:r>
          </w:p>
        </w:tc>
        <w:tc>
          <w:tcPr>
            <w:tcW w:w="3827" w:type="dxa"/>
          </w:tcPr>
          <w:p w14:paraId="4E60285B" w14:textId="77777777" w:rsidR="00C56359" w:rsidRPr="00A22F97" w:rsidRDefault="00C56359" w:rsidP="00C56359">
            <w:pPr>
              <w:spacing w:after="0" w:line="264" w:lineRule="auto"/>
              <w:jc w:val="both"/>
              <w:rPr>
                <w:sz w:val="24"/>
                <w:szCs w:val="24"/>
              </w:rPr>
            </w:pPr>
          </w:p>
        </w:tc>
      </w:tr>
    </w:tbl>
    <w:p w14:paraId="10894D59" w14:textId="77777777" w:rsidR="00F9521C" w:rsidRPr="00F76233" w:rsidRDefault="00F9521C">
      <w:pPr>
        <w:pStyle w:val="ListParagraph"/>
        <w:tabs>
          <w:tab w:val="left" w:pos="851"/>
        </w:tabs>
        <w:spacing w:before="120" w:after="0" w:line="247" w:lineRule="auto"/>
        <w:ind w:left="567"/>
        <w:contextualSpacing w:val="0"/>
        <w:jc w:val="both"/>
        <w:rPr>
          <w:rFonts w:cs="Times New Roman"/>
          <w:szCs w:val="28"/>
          <w:lang w:val="vi-VN"/>
        </w:rPr>
      </w:pPr>
    </w:p>
    <w:p w14:paraId="72B05E66" w14:textId="48FF1089" w:rsidR="00F76233" w:rsidRPr="00F62EA5" w:rsidRDefault="00F76233" w:rsidP="00BD5071">
      <w:pPr>
        <w:spacing w:after="0"/>
        <w:jc w:val="center"/>
        <w:rPr>
          <w:rFonts w:cs="Times New Roman"/>
          <w:szCs w:val="28"/>
        </w:rPr>
      </w:pPr>
      <w:bookmarkStart w:id="1" w:name="_GoBack"/>
      <w:bookmarkEnd w:id="1"/>
    </w:p>
    <w:sectPr w:rsidR="00F76233" w:rsidRPr="00F62EA5" w:rsidSect="001C66E3">
      <w:headerReference w:type="default" r:id="rId8"/>
      <w:footerReference w:type="default" r:id="rId9"/>
      <w:headerReference w:type="first" r:id="rId10"/>
      <w:pgSz w:w="16840" w:h="11907" w:orient="landscape"/>
      <w:pgMar w:top="1134"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401E5" w14:textId="77777777" w:rsidR="00C27F38" w:rsidRDefault="00C27F38">
      <w:pPr>
        <w:spacing w:line="240" w:lineRule="auto"/>
      </w:pPr>
      <w:r>
        <w:separator/>
      </w:r>
    </w:p>
  </w:endnote>
  <w:endnote w:type="continuationSeparator" w:id="0">
    <w:p w14:paraId="67BCAF04" w14:textId="77777777" w:rsidR="00C27F38" w:rsidRDefault="00C27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4035" w14:textId="77777777" w:rsidR="00F30FE7" w:rsidRDefault="00F30FE7">
    <w:pPr>
      <w:pStyle w:val="Footer"/>
      <w:jc w:val="center"/>
      <w:rPr>
        <w:sz w:val="26"/>
        <w:szCs w:val="26"/>
      </w:rPr>
    </w:pPr>
  </w:p>
  <w:p w14:paraId="070E0ADF" w14:textId="77777777" w:rsidR="00F30FE7" w:rsidRDefault="00F3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E6E3" w14:textId="77777777" w:rsidR="00C27F38" w:rsidRDefault="00C27F38">
      <w:pPr>
        <w:spacing w:after="0"/>
      </w:pPr>
      <w:r>
        <w:separator/>
      </w:r>
    </w:p>
  </w:footnote>
  <w:footnote w:type="continuationSeparator" w:id="0">
    <w:p w14:paraId="302299CC" w14:textId="77777777" w:rsidR="00C27F38" w:rsidRDefault="00C27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361237"/>
    </w:sdtPr>
    <w:sdtEndPr/>
    <w:sdtContent>
      <w:p w14:paraId="44B41FBB" w14:textId="04B63A25" w:rsidR="00F30FE7" w:rsidRDefault="00F30FE7">
        <w:pPr>
          <w:pStyle w:val="Header"/>
          <w:jc w:val="center"/>
        </w:pPr>
        <w:r>
          <w:fldChar w:fldCharType="begin"/>
        </w:r>
        <w:r>
          <w:instrText xml:space="preserve"> PAGE   \* MERGEFORMAT </w:instrText>
        </w:r>
        <w:r>
          <w:fldChar w:fldCharType="separate"/>
        </w:r>
        <w:r>
          <w:rPr>
            <w:noProof/>
          </w:rPr>
          <w:t>2</w:t>
        </w:r>
        <w:r>
          <w:fldChar w:fldCharType="end"/>
        </w:r>
      </w:p>
    </w:sdtContent>
  </w:sdt>
  <w:p w14:paraId="4D321D61" w14:textId="77777777" w:rsidR="00F30FE7" w:rsidRDefault="00F3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2AD9" w14:textId="77777777" w:rsidR="00F30FE7" w:rsidRDefault="00F30FE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DA368"/>
    <w:multiLevelType w:val="singleLevel"/>
    <w:tmpl w:val="FFEDA368"/>
    <w:lvl w:ilvl="0">
      <w:start w:val="1"/>
      <w:numFmt w:val="lowerLetter"/>
      <w:suff w:val="space"/>
      <w:lvlText w:val="%1)"/>
      <w:lvlJc w:val="left"/>
    </w:lvl>
  </w:abstractNum>
  <w:abstractNum w:abstractNumId="1" w15:restartNumberingAfterBreak="0">
    <w:nsid w:val="FFFD20CD"/>
    <w:multiLevelType w:val="singleLevel"/>
    <w:tmpl w:val="FFFD20CD"/>
    <w:lvl w:ilvl="0">
      <w:start w:val="1"/>
      <w:numFmt w:val="decimal"/>
      <w:suff w:val="space"/>
      <w:lvlText w:val="%1."/>
      <w:lvlJc w:val="left"/>
    </w:lvl>
  </w:abstractNum>
  <w:abstractNum w:abstractNumId="2" w15:restartNumberingAfterBreak="0">
    <w:nsid w:val="03312666"/>
    <w:multiLevelType w:val="multilevel"/>
    <w:tmpl w:val="0331266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354E3"/>
    <w:multiLevelType w:val="multilevel"/>
    <w:tmpl w:val="14A354E3"/>
    <w:lvl w:ilvl="0">
      <w:start w:val="3"/>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1E25226C"/>
    <w:multiLevelType w:val="multilevel"/>
    <w:tmpl w:val="1E25226C"/>
    <w:lvl w:ilvl="0">
      <w:start w:val="1"/>
      <w:numFmt w:val="decimal"/>
      <w:pStyle w:val="iu"/>
      <w:lvlText w:val="Điều %1."/>
      <w:lvlJc w:val="left"/>
      <w:pPr>
        <w:ind w:left="786" w:hanging="360"/>
      </w:pPr>
      <w:rPr>
        <w:rFonts w:hint="default"/>
        <w:b/>
        <w:bCs/>
        <w:i w:val="0"/>
        <w:i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C7C52D2"/>
    <w:multiLevelType w:val="multilevel"/>
    <w:tmpl w:val="2C7C52D2"/>
    <w:lvl w:ilvl="0">
      <w:start w:val="1"/>
      <w:numFmt w:val="decimal"/>
      <w:lvlText w:val="%1."/>
      <w:lvlJc w:val="left"/>
      <w:pPr>
        <w:ind w:left="360" w:hanging="360"/>
      </w:pPr>
    </w:lvl>
    <w:lvl w:ilvl="1">
      <w:start w:val="8"/>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BF0934"/>
    <w:multiLevelType w:val="hybridMultilevel"/>
    <w:tmpl w:val="87A2EB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E1C66"/>
    <w:multiLevelType w:val="multilevel"/>
    <w:tmpl w:val="2FDE1C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4F22E00"/>
    <w:multiLevelType w:val="multilevel"/>
    <w:tmpl w:val="44F22E00"/>
    <w:lvl w:ilvl="0">
      <w:start w:val="1"/>
      <w:numFmt w:val="upperRoman"/>
      <w:lvlText w:val="%1."/>
      <w:lvlJc w:val="left"/>
      <w:pPr>
        <w:ind w:left="1362" w:hanging="720"/>
      </w:pPr>
      <w:rPr>
        <w:rFonts w:hint="default"/>
      </w:rPr>
    </w:lvl>
    <w:lvl w:ilvl="1">
      <w:start w:val="1"/>
      <w:numFmt w:val="lowerLetter"/>
      <w:lvlText w:val="%2."/>
      <w:lvlJc w:val="left"/>
      <w:pPr>
        <w:ind w:left="1722" w:hanging="360"/>
      </w:p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9" w15:restartNumberingAfterBreak="0">
    <w:nsid w:val="50DB34B0"/>
    <w:multiLevelType w:val="multilevel"/>
    <w:tmpl w:val="50DB34B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7F11069"/>
    <w:multiLevelType w:val="multilevel"/>
    <w:tmpl w:val="57F110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7475B60"/>
    <w:multiLevelType w:val="hybridMultilevel"/>
    <w:tmpl w:val="DAB03024"/>
    <w:lvl w:ilvl="0" w:tplc="F9C4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90E53E4"/>
    <w:multiLevelType w:val="multilevel"/>
    <w:tmpl w:val="790E53E4"/>
    <w:lvl w:ilvl="0">
      <w:start w:val="8"/>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3"/>
  </w:num>
  <w:num w:numId="6">
    <w:abstractNumId w:val="5"/>
  </w:num>
  <w:num w:numId="7">
    <w:abstractNumId w:val="9"/>
  </w:num>
  <w:num w:numId="8">
    <w:abstractNumId w:val="1"/>
  </w:num>
  <w:num w:numId="9">
    <w:abstractNumId w:val="0"/>
  </w:num>
  <w:num w:numId="10">
    <w:abstractNumId w:val="12"/>
  </w:num>
  <w:num w:numId="11">
    <w:abstractNumId w:val="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3B"/>
    <w:rsid w:val="C75F2DEB"/>
    <w:rsid w:val="F2FCA0DF"/>
    <w:rsid w:val="F6FF25D1"/>
    <w:rsid w:val="00001A0F"/>
    <w:rsid w:val="00002941"/>
    <w:rsid w:val="00002EAD"/>
    <w:rsid w:val="0000455F"/>
    <w:rsid w:val="00005F40"/>
    <w:rsid w:val="000074FF"/>
    <w:rsid w:val="00007E09"/>
    <w:rsid w:val="00012A64"/>
    <w:rsid w:val="00012FB0"/>
    <w:rsid w:val="00015C78"/>
    <w:rsid w:val="00025206"/>
    <w:rsid w:val="00027759"/>
    <w:rsid w:val="0003058F"/>
    <w:rsid w:val="00030AA4"/>
    <w:rsid w:val="00031E79"/>
    <w:rsid w:val="00034325"/>
    <w:rsid w:val="00034610"/>
    <w:rsid w:val="000359F0"/>
    <w:rsid w:val="00037B96"/>
    <w:rsid w:val="000433FD"/>
    <w:rsid w:val="0004461E"/>
    <w:rsid w:val="00050349"/>
    <w:rsid w:val="00051A29"/>
    <w:rsid w:val="000534A4"/>
    <w:rsid w:val="00054CC5"/>
    <w:rsid w:val="00056EFB"/>
    <w:rsid w:val="00060632"/>
    <w:rsid w:val="00064706"/>
    <w:rsid w:val="00065A8A"/>
    <w:rsid w:val="00066751"/>
    <w:rsid w:val="00070810"/>
    <w:rsid w:val="00076F58"/>
    <w:rsid w:val="000800D7"/>
    <w:rsid w:val="0008020B"/>
    <w:rsid w:val="000802F3"/>
    <w:rsid w:val="00081B42"/>
    <w:rsid w:val="00081FAF"/>
    <w:rsid w:val="00084567"/>
    <w:rsid w:val="00091B22"/>
    <w:rsid w:val="00092AE4"/>
    <w:rsid w:val="00093A45"/>
    <w:rsid w:val="000A6246"/>
    <w:rsid w:val="000B353D"/>
    <w:rsid w:val="000B46A4"/>
    <w:rsid w:val="000C272C"/>
    <w:rsid w:val="000C6F99"/>
    <w:rsid w:val="000D13D0"/>
    <w:rsid w:val="000D2A84"/>
    <w:rsid w:val="000D5350"/>
    <w:rsid w:val="000E0E4D"/>
    <w:rsid w:val="000E34D6"/>
    <w:rsid w:val="000E3728"/>
    <w:rsid w:val="000F3645"/>
    <w:rsid w:val="00100D2C"/>
    <w:rsid w:val="00106059"/>
    <w:rsid w:val="00107137"/>
    <w:rsid w:val="00107FEB"/>
    <w:rsid w:val="0011088D"/>
    <w:rsid w:val="00116501"/>
    <w:rsid w:val="00116C44"/>
    <w:rsid w:val="00120A61"/>
    <w:rsid w:val="0012161E"/>
    <w:rsid w:val="0012339D"/>
    <w:rsid w:val="0012587C"/>
    <w:rsid w:val="00131621"/>
    <w:rsid w:val="001319C0"/>
    <w:rsid w:val="00132496"/>
    <w:rsid w:val="00135A4D"/>
    <w:rsid w:val="00137636"/>
    <w:rsid w:val="00137E7E"/>
    <w:rsid w:val="0014071C"/>
    <w:rsid w:val="001426A6"/>
    <w:rsid w:val="00145434"/>
    <w:rsid w:val="00146FB7"/>
    <w:rsid w:val="00150A69"/>
    <w:rsid w:val="00154275"/>
    <w:rsid w:val="00155451"/>
    <w:rsid w:val="00155585"/>
    <w:rsid w:val="00155FCE"/>
    <w:rsid w:val="00156984"/>
    <w:rsid w:val="00157CDC"/>
    <w:rsid w:val="00164DFE"/>
    <w:rsid w:val="00173BFF"/>
    <w:rsid w:val="00177107"/>
    <w:rsid w:val="00184096"/>
    <w:rsid w:val="00184FD0"/>
    <w:rsid w:val="001860EB"/>
    <w:rsid w:val="00186A0F"/>
    <w:rsid w:val="00190126"/>
    <w:rsid w:val="0019533E"/>
    <w:rsid w:val="001A0CEB"/>
    <w:rsid w:val="001B0D25"/>
    <w:rsid w:val="001C05ED"/>
    <w:rsid w:val="001C1AE8"/>
    <w:rsid w:val="001C4C73"/>
    <w:rsid w:val="001C66E3"/>
    <w:rsid w:val="001D0B2F"/>
    <w:rsid w:val="001D321B"/>
    <w:rsid w:val="001E190D"/>
    <w:rsid w:val="001E1D5E"/>
    <w:rsid w:val="001E39BC"/>
    <w:rsid w:val="001E589F"/>
    <w:rsid w:val="001E6872"/>
    <w:rsid w:val="001E7605"/>
    <w:rsid w:val="001F1CEC"/>
    <w:rsid w:val="001F3F78"/>
    <w:rsid w:val="00203260"/>
    <w:rsid w:val="00204642"/>
    <w:rsid w:val="00211606"/>
    <w:rsid w:val="0021271A"/>
    <w:rsid w:val="0021316A"/>
    <w:rsid w:val="00216CAB"/>
    <w:rsid w:val="00223646"/>
    <w:rsid w:val="002339B0"/>
    <w:rsid w:val="00235C2D"/>
    <w:rsid w:val="0024141A"/>
    <w:rsid w:val="0024376B"/>
    <w:rsid w:val="0024377B"/>
    <w:rsid w:val="002472C4"/>
    <w:rsid w:val="00247995"/>
    <w:rsid w:val="00252459"/>
    <w:rsid w:val="00257B4B"/>
    <w:rsid w:val="002602E2"/>
    <w:rsid w:val="002609C9"/>
    <w:rsid w:val="002631DD"/>
    <w:rsid w:val="00265410"/>
    <w:rsid w:val="00274FF0"/>
    <w:rsid w:val="00280B28"/>
    <w:rsid w:val="00282955"/>
    <w:rsid w:val="0028364F"/>
    <w:rsid w:val="002950EB"/>
    <w:rsid w:val="00297F47"/>
    <w:rsid w:val="002A4062"/>
    <w:rsid w:val="002C074E"/>
    <w:rsid w:val="002C07EA"/>
    <w:rsid w:val="002C29A1"/>
    <w:rsid w:val="002C3123"/>
    <w:rsid w:val="002C4370"/>
    <w:rsid w:val="002C5A3E"/>
    <w:rsid w:val="002D1208"/>
    <w:rsid w:val="002D3D18"/>
    <w:rsid w:val="002D6954"/>
    <w:rsid w:val="002E08BF"/>
    <w:rsid w:val="002E30E3"/>
    <w:rsid w:val="002E3EA8"/>
    <w:rsid w:val="002E57CD"/>
    <w:rsid w:val="002E7174"/>
    <w:rsid w:val="002E7452"/>
    <w:rsid w:val="003005E8"/>
    <w:rsid w:val="003031F0"/>
    <w:rsid w:val="00304795"/>
    <w:rsid w:val="0030613F"/>
    <w:rsid w:val="003109EC"/>
    <w:rsid w:val="00311478"/>
    <w:rsid w:val="00313082"/>
    <w:rsid w:val="0031355D"/>
    <w:rsid w:val="00313CF3"/>
    <w:rsid w:val="00315FAE"/>
    <w:rsid w:val="003167E2"/>
    <w:rsid w:val="003169F5"/>
    <w:rsid w:val="00317864"/>
    <w:rsid w:val="00321BA6"/>
    <w:rsid w:val="003246A1"/>
    <w:rsid w:val="0032690C"/>
    <w:rsid w:val="003310F4"/>
    <w:rsid w:val="00332EA5"/>
    <w:rsid w:val="003429BF"/>
    <w:rsid w:val="00344BD4"/>
    <w:rsid w:val="00345617"/>
    <w:rsid w:val="00347514"/>
    <w:rsid w:val="00347F4C"/>
    <w:rsid w:val="003533A3"/>
    <w:rsid w:val="00361C87"/>
    <w:rsid w:val="00366111"/>
    <w:rsid w:val="0036769A"/>
    <w:rsid w:val="00374108"/>
    <w:rsid w:val="00376923"/>
    <w:rsid w:val="00390D14"/>
    <w:rsid w:val="003A1890"/>
    <w:rsid w:val="003A304C"/>
    <w:rsid w:val="003A42E0"/>
    <w:rsid w:val="003A55D7"/>
    <w:rsid w:val="003A6008"/>
    <w:rsid w:val="003A6107"/>
    <w:rsid w:val="003B05BD"/>
    <w:rsid w:val="003B1C18"/>
    <w:rsid w:val="003B1EA4"/>
    <w:rsid w:val="003B20E2"/>
    <w:rsid w:val="003B2644"/>
    <w:rsid w:val="003B355D"/>
    <w:rsid w:val="003C0B92"/>
    <w:rsid w:val="003C40EC"/>
    <w:rsid w:val="003C429C"/>
    <w:rsid w:val="003C4894"/>
    <w:rsid w:val="003C7D02"/>
    <w:rsid w:val="003D3825"/>
    <w:rsid w:val="003D70FC"/>
    <w:rsid w:val="003E153F"/>
    <w:rsid w:val="003F28B2"/>
    <w:rsid w:val="003F2C78"/>
    <w:rsid w:val="003F4628"/>
    <w:rsid w:val="003F4A38"/>
    <w:rsid w:val="003F65F1"/>
    <w:rsid w:val="004023B7"/>
    <w:rsid w:val="00406E8A"/>
    <w:rsid w:val="00411C26"/>
    <w:rsid w:val="00412F3A"/>
    <w:rsid w:val="00416DA7"/>
    <w:rsid w:val="0042554F"/>
    <w:rsid w:val="00426081"/>
    <w:rsid w:val="00427427"/>
    <w:rsid w:val="004278ED"/>
    <w:rsid w:val="00440CA1"/>
    <w:rsid w:val="00444424"/>
    <w:rsid w:val="00450385"/>
    <w:rsid w:val="00450BBF"/>
    <w:rsid w:val="0045327C"/>
    <w:rsid w:val="0045799E"/>
    <w:rsid w:val="00457E87"/>
    <w:rsid w:val="0046113F"/>
    <w:rsid w:val="00465970"/>
    <w:rsid w:val="00466326"/>
    <w:rsid w:val="00466E0E"/>
    <w:rsid w:val="00467797"/>
    <w:rsid w:val="00472023"/>
    <w:rsid w:val="004720DB"/>
    <w:rsid w:val="004725A7"/>
    <w:rsid w:val="00472ACD"/>
    <w:rsid w:val="004761C9"/>
    <w:rsid w:val="004771EE"/>
    <w:rsid w:val="00477474"/>
    <w:rsid w:val="00477AE4"/>
    <w:rsid w:val="004804E4"/>
    <w:rsid w:val="00480C39"/>
    <w:rsid w:val="0048161C"/>
    <w:rsid w:val="00483D81"/>
    <w:rsid w:val="00484ACC"/>
    <w:rsid w:val="00484F5D"/>
    <w:rsid w:val="00486826"/>
    <w:rsid w:val="00490440"/>
    <w:rsid w:val="0049247E"/>
    <w:rsid w:val="004938A1"/>
    <w:rsid w:val="00497F86"/>
    <w:rsid w:val="004B3834"/>
    <w:rsid w:val="004B517B"/>
    <w:rsid w:val="004B658E"/>
    <w:rsid w:val="004C136D"/>
    <w:rsid w:val="004C5215"/>
    <w:rsid w:val="004C64C9"/>
    <w:rsid w:val="004C7A3B"/>
    <w:rsid w:val="004D3D23"/>
    <w:rsid w:val="004D3D68"/>
    <w:rsid w:val="004D64ED"/>
    <w:rsid w:val="004E339E"/>
    <w:rsid w:val="004E513A"/>
    <w:rsid w:val="004E5566"/>
    <w:rsid w:val="004E602C"/>
    <w:rsid w:val="004E6FA9"/>
    <w:rsid w:val="004F1915"/>
    <w:rsid w:val="004F21F4"/>
    <w:rsid w:val="004F3460"/>
    <w:rsid w:val="004F50DA"/>
    <w:rsid w:val="004F5145"/>
    <w:rsid w:val="004F6FE0"/>
    <w:rsid w:val="004F7F4A"/>
    <w:rsid w:val="0050462F"/>
    <w:rsid w:val="005100A0"/>
    <w:rsid w:val="005101C3"/>
    <w:rsid w:val="00512229"/>
    <w:rsid w:val="00521601"/>
    <w:rsid w:val="00522192"/>
    <w:rsid w:val="00522617"/>
    <w:rsid w:val="0052325C"/>
    <w:rsid w:val="005239EE"/>
    <w:rsid w:val="0052488E"/>
    <w:rsid w:val="00531227"/>
    <w:rsid w:val="00531B6E"/>
    <w:rsid w:val="00533D6C"/>
    <w:rsid w:val="00535967"/>
    <w:rsid w:val="005375EB"/>
    <w:rsid w:val="005401CC"/>
    <w:rsid w:val="005443D0"/>
    <w:rsid w:val="005444C1"/>
    <w:rsid w:val="00545216"/>
    <w:rsid w:val="00545A42"/>
    <w:rsid w:val="00546C31"/>
    <w:rsid w:val="00547023"/>
    <w:rsid w:val="00561085"/>
    <w:rsid w:val="0056152C"/>
    <w:rsid w:val="005629AF"/>
    <w:rsid w:val="005630A2"/>
    <w:rsid w:val="00564215"/>
    <w:rsid w:val="00566054"/>
    <w:rsid w:val="00571D43"/>
    <w:rsid w:val="00571F38"/>
    <w:rsid w:val="0057466D"/>
    <w:rsid w:val="0057724B"/>
    <w:rsid w:val="00585A3F"/>
    <w:rsid w:val="00592BF7"/>
    <w:rsid w:val="005A7505"/>
    <w:rsid w:val="005B0064"/>
    <w:rsid w:val="005B5BC5"/>
    <w:rsid w:val="005B7D45"/>
    <w:rsid w:val="005C18E7"/>
    <w:rsid w:val="005C30DE"/>
    <w:rsid w:val="005C40E0"/>
    <w:rsid w:val="005C5DF8"/>
    <w:rsid w:val="005C5E07"/>
    <w:rsid w:val="005C6728"/>
    <w:rsid w:val="005C76B4"/>
    <w:rsid w:val="005D220D"/>
    <w:rsid w:val="005D4EC6"/>
    <w:rsid w:val="005D6BAD"/>
    <w:rsid w:val="005D7FB6"/>
    <w:rsid w:val="005E2242"/>
    <w:rsid w:val="005E2DBC"/>
    <w:rsid w:val="005E549C"/>
    <w:rsid w:val="005E6D30"/>
    <w:rsid w:val="005E7CC7"/>
    <w:rsid w:val="005F0AE6"/>
    <w:rsid w:val="005F4412"/>
    <w:rsid w:val="005F55DE"/>
    <w:rsid w:val="005F572A"/>
    <w:rsid w:val="005F7107"/>
    <w:rsid w:val="00602482"/>
    <w:rsid w:val="00604B63"/>
    <w:rsid w:val="00605CBB"/>
    <w:rsid w:val="00606421"/>
    <w:rsid w:val="0060698F"/>
    <w:rsid w:val="006122F5"/>
    <w:rsid w:val="0061354B"/>
    <w:rsid w:val="00614179"/>
    <w:rsid w:val="0061490B"/>
    <w:rsid w:val="006174C9"/>
    <w:rsid w:val="006179C2"/>
    <w:rsid w:val="00623CB0"/>
    <w:rsid w:val="0062748A"/>
    <w:rsid w:val="006305CD"/>
    <w:rsid w:val="00633300"/>
    <w:rsid w:val="00635BDE"/>
    <w:rsid w:val="0064110B"/>
    <w:rsid w:val="0064162F"/>
    <w:rsid w:val="006501AC"/>
    <w:rsid w:val="00650585"/>
    <w:rsid w:val="00651529"/>
    <w:rsid w:val="006522C5"/>
    <w:rsid w:val="006539EC"/>
    <w:rsid w:val="00654804"/>
    <w:rsid w:val="0065590C"/>
    <w:rsid w:val="00657689"/>
    <w:rsid w:val="00662D6C"/>
    <w:rsid w:val="00663A9A"/>
    <w:rsid w:val="00665C70"/>
    <w:rsid w:val="0067038D"/>
    <w:rsid w:val="0067227B"/>
    <w:rsid w:val="0067390C"/>
    <w:rsid w:val="00683E5F"/>
    <w:rsid w:val="0068650D"/>
    <w:rsid w:val="00692EF4"/>
    <w:rsid w:val="00694A60"/>
    <w:rsid w:val="0069514C"/>
    <w:rsid w:val="00695E19"/>
    <w:rsid w:val="006A0E08"/>
    <w:rsid w:val="006A37E8"/>
    <w:rsid w:val="006A389B"/>
    <w:rsid w:val="006A780E"/>
    <w:rsid w:val="006A7DC0"/>
    <w:rsid w:val="006B2388"/>
    <w:rsid w:val="006B26D7"/>
    <w:rsid w:val="006B6166"/>
    <w:rsid w:val="006B7C1A"/>
    <w:rsid w:val="006B7D24"/>
    <w:rsid w:val="006C2A19"/>
    <w:rsid w:val="006C7725"/>
    <w:rsid w:val="006D1A66"/>
    <w:rsid w:val="006D4889"/>
    <w:rsid w:val="006D5541"/>
    <w:rsid w:val="006D7765"/>
    <w:rsid w:val="006E3ADD"/>
    <w:rsid w:val="006E43D6"/>
    <w:rsid w:val="006E4A30"/>
    <w:rsid w:val="006F0643"/>
    <w:rsid w:val="006F0B3B"/>
    <w:rsid w:val="006F4F36"/>
    <w:rsid w:val="006F7CA4"/>
    <w:rsid w:val="007021C1"/>
    <w:rsid w:val="0070370F"/>
    <w:rsid w:val="00707A72"/>
    <w:rsid w:val="00712645"/>
    <w:rsid w:val="0071472A"/>
    <w:rsid w:val="00714ABF"/>
    <w:rsid w:val="00714CB0"/>
    <w:rsid w:val="007216A5"/>
    <w:rsid w:val="00721DC3"/>
    <w:rsid w:val="0073178B"/>
    <w:rsid w:val="00737C55"/>
    <w:rsid w:val="00742747"/>
    <w:rsid w:val="0075033B"/>
    <w:rsid w:val="00750E9D"/>
    <w:rsid w:val="0075155F"/>
    <w:rsid w:val="00755321"/>
    <w:rsid w:val="007620EF"/>
    <w:rsid w:val="00762287"/>
    <w:rsid w:val="0076330A"/>
    <w:rsid w:val="00763D75"/>
    <w:rsid w:val="00764892"/>
    <w:rsid w:val="007648CF"/>
    <w:rsid w:val="00764CDA"/>
    <w:rsid w:val="00766503"/>
    <w:rsid w:val="0076733C"/>
    <w:rsid w:val="0077101B"/>
    <w:rsid w:val="00774F29"/>
    <w:rsid w:val="0077597B"/>
    <w:rsid w:val="00776298"/>
    <w:rsid w:val="0079103A"/>
    <w:rsid w:val="00794E25"/>
    <w:rsid w:val="00795E42"/>
    <w:rsid w:val="007970BC"/>
    <w:rsid w:val="007979A6"/>
    <w:rsid w:val="007A0165"/>
    <w:rsid w:val="007A713A"/>
    <w:rsid w:val="007B1A31"/>
    <w:rsid w:val="007B1C2C"/>
    <w:rsid w:val="007B4394"/>
    <w:rsid w:val="007B51C6"/>
    <w:rsid w:val="007B5802"/>
    <w:rsid w:val="007B7007"/>
    <w:rsid w:val="007C3282"/>
    <w:rsid w:val="007D7C98"/>
    <w:rsid w:val="007E3374"/>
    <w:rsid w:val="007E3FCF"/>
    <w:rsid w:val="007F2ED6"/>
    <w:rsid w:val="007F3732"/>
    <w:rsid w:val="007F4B4B"/>
    <w:rsid w:val="00806702"/>
    <w:rsid w:val="00807A36"/>
    <w:rsid w:val="008109DC"/>
    <w:rsid w:val="0081142C"/>
    <w:rsid w:val="008155A5"/>
    <w:rsid w:val="0082005C"/>
    <w:rsid w:val="00823DD0"/>
    <w:rsid w:val="00826CD6"/>
    <w:rsid w:val="0083262C"/>
    <w:rsid w:val="00834B7A"/>
    <w:rsid w:val="00834EE7"/>
    <w:rsid w:val="008358F5"/>
    <w:rsid w:val="008366E4"/>
    <w:rsid w:val="0083706F"/>
    <w:rsid w:val="00846FFF"/>
    <w:rsid w:val="00847FB3"/>
    <w:rsid w:val="00854A75"/>
    <w:rsid w:val="00857240"/>
    <w:rsid w:val="00862224"/>
    <w:rsid w:val="00862319"/>
    <w:rsid w:val="0086263E"/>
    <w:rsid w:val="008640A2"/>
    <w:rsid w:val="00867619"/>
    <w:rsid w:val="00872588"/>
    <w:rsid w:val="00872ABE"/>
    <w:rsid w:val="00873E87"/>
    <w:rsid w:val="008740BC"/>
    <w:rsid w:val="008749AD"/>
    <w:rsid w:val="00880003"/>
    <w:rsid w:val="008810C0"/>
    <w:rsid w:val="00883A77"/>
    <w:rsid w:val="00886929"/>
    <w:rsid w:val="0089072E"/>
    <w:rsid w:val="0089360B"/>
    <w:rsid w:val="00893D7E"/>
    <w:rsid w:val="008953CD"/>
    <w:rsid w:val="008A33FD"/>
    <w:rsid w:val="008B1921"/>
    <w:rsid w:val="008B575F"/>
    <w:rsid w:val="008C1531"/>
    <w:rsid w:val="008C3CDA"/>
    <w:rsid w:val="008C6C74"/>
    <w:rsid w:val="008C7811"/>
    <w:rsid w:val="008D5958"/>
    <w:rsid w:val="008E0323"/>
    <w:rsid w:val="008E06CA"/>
    <w:rsid w:val="008E5C3A"/>
    <w:rsid w:val="008F0B21"/>
    <w:rsid w:val="008F0E8F"/>
    <w:rsid w:val="008F37E2"/>
    <w:rsid w:val="008F3F99"/>
    <w:rsid w:val="008F53D2"/>
    <w:rsid w:val="008F627E"/>
    <w:rsid w:val="009005AE"/>
    <w:rsid w:val="00901F94"/>
    <w:rsid w:val="00902239"/>
    <w:rsid w:val="00903164"/>
    <w:rsid w:val="00903F98"/>
    <w:rsid w:val="009149DB"/>
    <w:rsid w:val="00915A40"/>
    <w:rsid w:val="00916DB4"/>
    <w:rsid w:val="0091788D"/>
    <w:rsid w:val="00917EA9"/>
    <w:rsid w:val="009200AF"/>
    <w:rsid w:val="00920530"/>
    <w:rsid w:val="00923151"/>
    <w:rsid w:val="00924142"/>
    <w:rsid w:val="00925DC3"/>
    <w:rsid w:val="009266BB"/>
    <w:rsid w:val="009313B0"/>
    <w:rsid w:val="00931518"/>
    <w:rsid w:val="00932F16"/>
    <w:rsid w:val="00940245"/>
    <w:rsid w:val="009449B6"/>
    <w:rsid w:val="0094646E"/>
    <w:rsid w:val="00953068"/>
    <w:rsid w:val="00954AB2"/>
    <w:rsid w:val="00954F2D"/>
    <w:rsid w:val="009554CB"/>
    <w:rsid w:val="00956862"/>
    <w:rsid w:val="00957FF4"/>
    <w:rsid w:val="00960979"/>
    <w:rsid w:val="009609A0"/>
    <w:rsid w:val="009639D4"/>
    <w:rsid w:val="00964DEF"/>
    <w:rsid w:val="00966FF3"/>
    <w:rsid w:val="009703AA"/>
    <w:rsid w:val="00985F4D"/>
    <w:rsid w:val="00993EAC"/>
    <w:rsid w:val="00996481"/>
    <w:rsid w:val="00996496"/>
    <w:rsid w:val="009A0B0E"/>
    <w:rsid w:val="009A26A3"/>
    <w:rsid w:val="009B2834"/>
    <w:rsid w:val="009B6AF2"/>
    <w:rsid w:val="009C1708"/>
    <w:rsid w:val="009D3AF1"/>
    <w:rsid w:val="009E6B9C"/>
    <w:rsid w:val="00A03FB2"/>
    <w:rsid w:val="00A041F4"/>
    <w:rsid w:val="00A04960"/>
    <w:rsid w:val="00A05BEE"/>
    <w:rsid w:val="00A13E7B"/>
    <w:rsid w:val="00A14F38"/>
    <w:rsid w:val="00A16DB1"/>
    <w:rsid w:val="00A16FB8"/>
    <w:rsid w:val="00A17371"/>
    <w:rsid w:val="00A17CAD"/>
    <w:rsid w:val="00A2059E"/>
    <w:rsid w:val="00A22588"/>
    <w:rsid w:val="00A22F97"/>
    <w:rsid w:val="00A2367F"/>
    <w:rsid w:val="00A24155"/>
    <w:rsid w:val="00A24678"/>
    <w:rsid w:val="00A25E31"/>
    <w:rsid w:val="00A32DF5"/>
    <w:rsid w:val="00A3377B"/>
    <w:rsid w:val="00A34305"/>
    <w:rsid w:val="00A35695"/>
    <w:rsid w:val="00A4055C"/>
    <w:rsid w:val="00A41856"/>
    <w:rsid w:val="00A46650"/>
    <w:rsid w:val="00A54666"/>
    <w:rsid w:val="00A57C29"/>
    <w:rsid w:val="00A634D6"/>
    <w:rsid w:val="00A63F9D"/>
    <w:rsid w:val="00A64E51"/>
    <w:rsid w:val="00A6604E"/>
    <w:rsid w:val="00A72EBF"/>
    <w:rsid w:val="00A7393C"/>
    <w:rsid w:val="00A7556D"/>
    <w:rsid w:val="00A75C60"/>
    <w:rsid w:val="00A80CD3"/>
    <w:rsid w:val="00A81920"/>
    <w:rsid w:val="00A8357E"/>
    <w:rsid w:val="00A83A40"/>
    <w:rsid w:val="00A85189"/>
    <w:rsid w:val="00A85922"/>
    <w:rsid w:val="00A90118"/>
    <w:rsid w:val="00A908D2"/>
    <w:rsid w:val="00A96231"/>
    <w:rsid w:val="00A972F4"/>
    <w:rsid w:val="00AA4532"/>
    <w:rsid w:val="00AA463D"/>
    <w:rsid w:val="00AA526C"/>
    <w:rsid w:val="00AA554D"/>
    <w:rsid w:val="00AA5FB9"/>
    <w:rsid w:val="00AB0950"/>
    <w:rsid w:val="00AB1C2D"/>
    <w:rsid w:val="00AB6052"/>
    <w:rsid w:val="00AC1989"/>
    <w:rsid w:val="00AC2E38"/>
    <w:rsid w:val="00AC3DBB"/>
    <w:rsid w:val="00AC4F9B"/>
    <w:rsid w:val="00AC6842"/>
    <w:rsid w:val="00AC6CF0"/>
    <w:rsid w:val="00AD4518"/>
    <w:rsid w:val="00AD7491"/>
    <w:rsid w:val="00AD7B69"/>
    <w:rsid w:val="00AE0C27"/>
    <w:rsid w:val="00AE3759"/>
    <w:rsid w:val="00AE4E38"/>
    <w:rsid w:val="00AF2BA6"/>
    <w:rsid w:val="00B0586B"/>
    <w:rsid w:val="00B062D8"/>
    <w:rsid w:val="00B0772E"/>
    <w:rsid w:val="00B077E8"/>
    <w:rsid w:val="00B120B1"/>
    <w:rsid w:val="00B12B85"/>
    <w:rsid w:val="00B15341"/>
    <w:rsid w:val="00B16667"/>
    <w:rsid w:val="00B26362"/>
    <w:rsid w:val="00B3090B"/>
    <w:rsid w:val="00B351EA"/>
    <w:rsid w:val="00B365B9"/>
    <w:rsid w:val="00B3672F"/>
    <w:rsid w:val="00B52B29"/>
    <w:rsid w:val="00B54CEB"/>
    <w:rsid w:val="00B56050"/>
    <w:rsid w:val="00B56660"/>
    <w:rsid w:val="00B56F7C"/>
    <w:rsid w:val="00B62111"/>
    <w:rsid w:val="00B62A79"/>
    <w:rsid w:val="00B6409A"/>
    <w:rsid w:val="00B65639"/>
    <w:rsid w:val="00B724FE"/>
    <w:rsid w:val="00B731CB"/>
    <w:rsid w:val="00B74C0B"/>
    <w:rsid w:val="00B82FC8"/>
    <w:rsid w:val="00B8354C"/>
    <w:rsid w:val="00B855AD"/>
    <w:rsid w:val="00B86379"/>
    <w:rsid w:val="00B87B5E"/>
    <w:rsid w:val="00BA13A5"/>
    <w:rsid w:val="00BA1682"/>
    <w:rsid w:val="00BA54CC"/>
    <w:rsid w:val="00BB1A51"/>
    <w:rsid w:val="00BB39A2"/>
    <w:rsid w:val="00BB3E1C"/>
    <w:rsid w:val="00BB6390"/>
    <w:rsid w:val="00BC3306"/>
    <w:rsid w:val="00BC44F4"/>
    <w:rsid w:val="00BD07C5"/>
    <w:rsid w:val="00BD1DFC"/>
    <w:rsid w:val="00BD5071"/>
    <w:rsid w:val="00BD5464"/>
    <w:rsid w:val="00BD74D2"/>
    <w:rsid w:val="00BE3246"/>
    <w:rsid w:val="00BE3E30"/>
    <w:rsid w:val="00BE459D"/>
    <w:rsid w:val="00BE60D4"/>
    <w:rsid w:val="00BE6C61"/>
    <w:rsid w:val="00BE70A8"/>
    <w:rsid w:val="00BE79EC"/>
    <w:rsid w:val="00BF1D2A"/>
    <w:rsid w:val="00BF4146"/>
    <w:rsid w:val="00C0013A"/>
    <w:rsid w:val="00C0621D"/>
    <w:rsid w:val="00C1190B"/>
    <w:rsid w:val="00C20368"/>
    <w:rsid w:val="00C230BB"/>
    <w:rsid w:val="00C27F07"/>
    <w:rsid w:val="00C27F38"/>
    <w:rsid w:val="00C31279"/>
    <w:rsid w:val="00C355DB"/>
    <w:rsid w:val="00C35C84"/>
    <w:rsid w:val="00C430D1"/>
    <w:rsid w:val="00C43A31"/>
    <w:rsid w:val="00C47CFB"/>
    <w:rsid w:val="00C54B19"/>
    <w:rsid w:val="00C56359"/>
    <w:rsid w:val="00C64D97"/>
    <w:rsid w:val="00C6554A"/>
    <w:rsid w:val="00C70AA1"/>
    <w:rsid w:val="00C7664E"/>
    <w:rsid w:val="00C83E78"/>
    <w:rsid w:val="00C84F77"/>
    <w:rsid w:val="00C901D9"/>
    <w:rsid w:val="00C906A2"/>
    <w:rsid w:val="00C916F8"/>
    <w:rsid w:val="00CA2455"/>
    <w:rsid w:val="00CA422D"/>
    <w:rsid w:val="00CA4434"/>
    <w:rsid w:val="00CB34B1"/>
    <w:rsid w:val="00CB452C"/>
    <w:rsid w:val="00CB6A2E"/>
    <w:rsid w:val="00CC2603"/>
    <w:rsid w:val="00CC60D0"/>
    <w:rsid w:val="00CD42C1"/>
    <w:rsid w:val="00CD7FBB"/>
    <w:rsid w:val="00CE1335"/>
    <w:rsid w:val="00CE48E7"/>
    <w:rsid w:val="00CE50ED"/>
    <w:rsid w:val="00CF12BB"/>
    <w:rsid w:val="00CF1D0F"/>
    <w:rsid w:val="00CF4EE1"/>
    <w:rsid w:val="00D00484"/>
    <w:rsid w:val="00D02E6B"/>
    <w:rsid w:val="00D04C85"/>
    <w:rsid w:val="00D110F5"/>
    <w:rsid w:val="00D16BF4"/>
    <w:rsid w:val="00D23A09"/>
    <w:rsid w:val="00D23C0B"/>
    <w:rsid w:val="00D24CF1"/>
    <w:rsid w:val="00D257C9"/>
    <w:rsid w:val="00D25C71"/>
    <w:rsid w:val="00D275A4"/>
    <w:rsid w:val="00D30365"/>
    <w:rsid w:val="00D304A8"/>
    <w:rsid w:val="00D346B6"/>
    <w:rsid w:val="00D36273"/>
    <w:rsid w:val="00D51FEC"/>
    <w:rsid w:val="00D52261"/>
    <w:rsid w:val="00D5710C"/>
    <w:rsid w:val="00D6297C"/>
    <w:rsid w:val="00D6362A"/>
    <w:rsid w:val="00D639E2"/>
    <w:rsid w:val="00D67D1D"/>
    <w:rsid w:val="00D70359"/>
    <w:rsid w:val="00D72D8A"/>
    <w:rsid w:val="00D76845"/>
    <w:rsid w:val="00D7704E"/>
    <w:rsid w:val="00D848FF"/>
    <w:rsid w:val="00DA11DF"/>
    <w:rsid w:val="00DA174D"/>
    <w:rsid w:val="00DA2A08"/>
    <w:rsid w:val="00DA38C1"/>
    <w:rsid w:val="00DA46C2"/>
    <w:rsid w:val="00DA55ED"/>
    <w:rsid w:val="00DB38DF"/>
    <w:rsid w:val="00DB5397"/>
    <w:rsid w:val="00DC17C9"/>
    <w:rsid w:val="00DC3188"/>
    <w:rsid w:val="00DC56D2"/>
    <w:rsid w:val="00DC62DF"/>
    <w:rsid w:val="00DD1114"/>
    <w:rsid w:val="00DD1DD4"/>
    <w:rsid w:val="00DD34D5"/>
    <w:rsid w:val="00DD4A81"/>
    <w:rsid w:val="00DD4AC9"/>
    <w:rsid w:val="00DD5865"/>
    <w:rsid w:val="00DD6B6B"/>
    <w:rsid w:val="00DD6C81"/>
    <w:rsid w:val="00DD6DB9"/>
    <w:rsid w:val="00DE0641"/>
    <w:rsid w:val="00DE35F1"/>
    <w:rsid w:val="00DF6198"/>
    <w:rsid w:val="00E00605"/>
    <w:rsid w:val="00E00AEC"/>
    <w:rsid w:val="00E01638"/>
    <w:rsid w:val="00E03FB6"/>
    <w:rsid w:val="00E10B40"/>
    <w:rsid w:val="00E12A47"/>
    <w:rsid w:val="00E13D6E"/>
    <w:rsid w:val="00E155A6"/>
    <w:rsid w:val="00E15E31"/>
    <w:rsid w:val="00E168B8"/>
    <w:rsid w:val="00E22D20"/>
    <w:rsid w:val="00E2756F"/>
    <w:rsid w:val="00E30F57"/>
    <w:rsid w:val="00E315FB"/>
    <w:rsid w:val="00E343E8"/>
    <w:rsid w:val="00E35D34"/>
    <w:rsid w:val="00E44528"/>
    <w:rsid w:val="00E46B30"/>
    <w:rsid w:val="00E529E8"/>
    <w:rsid w:val="00E56929"/>
    <w:rsid w:val="00E650EA"/>
    <w:rsid w:val="00E6773E"/>
    <w:rsid w:val="00E70091"/>
    <w:rsid w:val="00E72B54"/>
    <w:rsid w:val="00E73195"/>
    <w:rsid w:val="00E74046"/>
    <w:rsid w:val="00E7407D"/>
    <w:rsid w:val="00E75751"/>
    <w:rsid w:val="00E80C28"/>
    <w:rsid w:val="00E83CFB"/>
    <w:rsid w:val="00E86438"/>
    <w:rsid w:val="00E939A4"/>
    <w:rsid w:val="00E9657D"/>
    <w:rsid w:val="00E97789"/>
    <w:rsid w:val="00EA1176"/>
    <w:rsid w:val="00EA1587"/>
    <w:rsid w:val="00EA4A14"/>
    <w:rsid w:val="00EB2762"/>
    <w:rsid w:val="00EB5D00"/>
    <w:rsid w:val="00EB7DDE"/>
    <w:rsid w:val="00EC2719"/>
    <w:rsid w:val="00EC4CD4"/>
    <w:rsid w:val="00EC6051"/>
    <w:rsid w:val="00EC636B"/>
    <w:rsid w:val="00ED0639"/>
    <w:rsid w:val="00ED6F05"/>
    <w:rsid w:val="00ED7D95"/>
    <w:rsid w:val="00EE330B"/>
    <w:rsid w:val="00F01275"/>
    <w:rsid w:val="00F0444C"/>
    <w:rsid w:val="00F072BE"/>
    <w:rsid w:val="00F07A37"/>
    <w:rsid w:val="00F1323A"/>
    <w:rsid w:val="00F13A2B"/>
    <w:rsid w:val="00F14C04"/>
    <w:rsid w:val="00F14E68"/>
    <w:rsid w:val="00F164EF"/>
    <w:rsid w:val="00F17F4F"/>
    <w:rsid w:val="00F24C53"/>
    <w:rsid w:val="00F25F81"/>
    <w:rsid w:val="00F2634F"/>
    <w:rsid w:val="00F27625"/>
    <w:rsid w:val="00F30F76"/>
    <w:rsid w:val="00F30FE7"/>
    <w:rsid w:val="00F354E8"/>
    <w:rsid w:val="00F37105"/>
    <w:rsid w:val="00F37D88"/>
    <w:rsid w:val="00F50B8E"/>
    <w:rsid w:val="00F539B9"/>
    <w:rsid w:val="00F554B7"/>
    <w:rsid w:val="00F55E23"/>
    <w:rsid w:val="00F6183A"/>
    <w:rsid w:val="00F61EE1"/>
    <w:rsid w:val="00F62EA5"/>
    <w:rsid w:val="00F643A9"/>
    <w:rsid w:val="00F65E7C"/>
    <w:rsid w:val="00F70E77"/>
    <w:rsid w:val="00F7413F"/>
    <w:rsid w:val="00F76233"/>
    <w:rsid w:val="00F80A20"/>
    <w:rsid w:val="00F812BF"/>
    <w:rsid w:val="00F8393C"/>
    <w:rsid w:val="00F9521C"/>
    <w:rsid w:val="00F973BE"/>
    <w:rsid w:val="00FA1534"/>
    <w:rsid w:val="00FA646E"/>
    <w:rsid w:val="00FB0E2D"/>
    <w:rsid w:val="00FB4FFD"/>
    <w:rsid w:val="00FB509B"/>
    <w:rsid w:val="00FB71CD"/>
    <w:rsid w:val="00FC2B6E"/>
    <w:rsid w:val="00FC4E24"/>
    <w:rsid w:val="00FC7BB2"/>
    <w:rsid w:val="00FD721D"/>
    <w:rsid w:val="00FE2594"/>
    <w:rsid w:val="00FE49E9"/>
    <w:rsid w:val="00FF1007"/>
    <w:rsid w:val="00FF1F0C"/>
    <w:rsid w:val="7BFE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0AE0B7"/>
  <w15:docId w15:val="{7E4EB3A1-F018-4DE8-9513-E20E4E2F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unhideWhenUsed="1" w:qFormat="1"/>
    <w:lsdException w:name="annotation text" w:semiHidden="1"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heme="minorBidi"/>
      <w:sz w:val="28"/>
      <w:szCs w:val="22"/>
      <w14:ligatures w14:val="standardContextual"/>
    </w:rPr>
  </w:style>
  <w:style w:type="paragraph" w:styleId="Heading1">
    <w:name w:val="heading 1"/>
    <w:basedOn w:val="Normal"/>
    <w:next w:val="Normal"/>
    <w:link w:val="Heading1Char"/>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pPr>
      <w:spacing w:before="120" w:after="0" w:line="252" w:lineRule="auto"/>
      <w:ind w:firstLine="567"/>
      <w:jc w:val="both"/>
      <w:outlineLvl w:val="2"/>
    </w:pPr>
    <w:rPr>
      <w:rFonts w:eastAsia="Times New Roman" w:cs="Times New Roman"/>
      <w:b/>
      <w:bCs/>
      <w:szCs w:val="27"/>
    </w:rPr>
  </w:style>
  <w:style w:type="paragraph" w:styleId="Heading4">
    <w:name w:val="heading 4"/>
    <w:basedOn w:val="Normal"/>
    <w:next w:val="Normal"/>
    <w:link w:val="Heading4Char"/>
    <w:unhideWhenUsed/>
    <w:qFormat/>
    <w:pPr>
      <w:keepNext/>
      <w:keepLines/>
      <w:spacing w:before="120" w:after="0" w:line="252" w:lineRule="auto"/>
      <w:ind w:firstLine="567"/>
      <w:jc w:val="both"/>
      <w:outlineLvl w:val="3"/>
    </w:pPr>
    <w:rPr>
      <w:rFonts w:eastAsiaTheme="majorEastAsia" w:cstheme="majorBidi"/>
      <w:b/>
      <w:i/>
      <w:iCs/>
      <w:color w:val="002060"/>
    </w:rPr>
  </w:style>
  <w:style w:type="paragraph" w:styleId="Heading5">
    <w:name w:val="heading 5"/>
    <w:basedOn w:val="Normal"/>
    <w:next w:val="Normal"/>
    <w:link w:val="Heading5Char"/>
    <w:uiPriority w:val="9"/>
    <w:unhideWhenUsed/>
    <w:qFormat/>
    <w:pPr>
      <w:keepNext/>
      <w:keepLines/>
      <w:spacing w:before="120" w:after="0" w:line="252" w:lineRule="auto"/>
      <w:ind w:firstLine="567"/>
      <w:jc w:val="both"/>
      <w:outlineLvl w:val="4"/>
    </w:pPr>
    <w:rPr>
      <w:rFonts w:eastAsiaTheme="majorEastAsia" w:cstheme="majorBidi"/>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3">
    <w:name w:val="Body Text Indent 3"/>
    <w:basedOn w:val="Normal"/>
    <w:link w:val="BodyTextIndent3Char"/>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pPr>
    <w:rPr>
      <w:rFonts w:ascii=".VnTime" w:eastAsia="Times New Roman" w:hAnsi=".VnTime" w:cs="Times New Roman"/>
      <w:sz w:val="24"/>
      <w:szCs w:val="20"/>
      <w:lang w:val="zh-CN" w:eastAsia="zh-CN"/>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eastAsia="Times New Roman" w:cs="Times New Roman"/>
      <w:sz w:val="20"/>
      <w:szCs w:val="20"/>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qFormat/>
    <w:pPr>
      <w:tabs>
        <w:tab w:val="center" w:pos="4320"/>
        <w:tab w:val="right" w:pos="8640"/>
      </w:tabs>
      <w:spacing w:after="0" w:line="240" w:lineRule="auto"/>
    </w:pPr>
    <w:rPr>
      <w:rFonts w:eastAsia="Times New Roman" w:cs="Times New Roman"/>
      <w:szCs w:val="28"/>
    </w:rPr>
  </w:style>
  <w:style w:type="character" w:styleId="FootnoteReference">
    <w:name w:val="footnote reference"/>
    <w:unhideWhenUsed/>
    <w:qFormat/>
    <w:rPr>
      <w:vertAlign w:val="superscript"/>
    </w:rPr>
  </w:style>
  <w:style w:type="paragraph" w:styleId="FootnoteText">
    <w:name w:val="footnote text"/>
    <w:basedOn w:val="Normal"/>
    <w:link w:val="FootnoteTextChar"/>
    <w:unhideWhenUsed/>
    <w:qFormat/>
    <w:pPr>
      <w:spacing w:after="0" w:line="240" w:lineRule="auto"/>
    </w:pPr>
    <w:rPr>
      <w:rFonts w:eastAsia="Times New Roman" w:cs="Times New Roman"/>
      <w:sz w:val="20"/>
      <w:szCs w:val="20"/>
    </w:r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character" w:styleId="HTMLTypewriter">
    <w:name w:val="HTML Typewriter"/>
    <w:basedOn w:val="DefaultParagraphFont"/>
    <w:uiPriority w:val="99"/>
    <w:semiHidden/>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Verdana" w:eastAsia="Times New Roman" w:hAnsi="Verdana"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widowControl w:val="0"/>
      <w:suppressAutoHyphens/>
      <w:spacing w:after="120" w:line="240" w:lineRule="auto"/>
      <w:ind w:firstLine="720"/>
      <w:jc w:val="both"/>
    </w:pPr>
    <w:rPr>
      <w:rFonts w:eastAsia="Times New Roman" w:cs="Times New Roman"/>
      <w:b/>
      <w:kern w:val="1"/>
      <w:sz w:val="24"/>
      <w:szCs w:val="24"/>
    </w:rPr>
  </w:style>
  <w:style w:type="paragraph" w:styleId="TOC1">
    <w:name w:val="toc 1"/>
    <w:basedOn w:val="Normal"/>
    <w:next w:val="Normal"/>
    <w:uiPriority w:val="39"/>
    <w:qFormat/>
    <w:pPr>
      <w:tabs>
        <w:tab w:val="right" w:leader="dot" w:pos="9350"/>
      </w:tabs>
      <w:spacing w:before="120" w:after="180" w:line="240" w:lineRule="auto"/>
      <w:ind w:firstLine="720"/>
      <w:jc w:val="center"/>
      <w:outlineLvl w:val="0"/>
    </w:pPr>
    <w:rPr>
      <w:rFonts w:cs="Times New Roman"/>
      <w:b/>
      <w:bCs/>
      <w:caps/>
      <w:szCs w:val="28"/>
      <w:lang w:val="vi-VN"/>
    </w:rPr>
  </w:style>
  <w:style w:type="paragraph" w:styleId="TOC2">
    <w:name w:val="toc 2"/>
    <w:basedOn w:val="Normal"/>
    <w:next w:val="Normal"/>
    <w:uiPriority w:val="39"/>
    <w:unhideWhenUsed/>
    <w:qFormat/>
    <w:pPr>
      <w:tabs>
        <w:tab w:val="right" w:leader="dot" w:pos="9350"/>
      </w:tabs>
      <w:spacing w:before="120" w:after="180" w:line="240" w:lineRule="auto"/>
      <w:ind w:firstLine="709"/>
      <w:jc w:val="both"/>
    </w:pPr>
    <w:rPr>
      <w:rFonts w:asciiTheme="minorHAnsi" w:hAnsiTheme="minorHAnsi" w:cstheme="minorHAnsi"/>
      <w:b/>
      <w:bCs/>
      <w:sz w:val="20"/>
      <w:szCs w:val="20"/>
    </w:rPr>
  </w:style>
  <w:style w:type="paragraph" w:styleId="TOC3">
    <w:name w:val="toc 3"/>
    <w:basedOn w:val="Normal"/>
    <w:next w:val="Normal"/>
    <w:uiPriority w:val="39"/>
    <w:qFormat/>
    <w:pPr>
      <w:spacing w:before="120" w:after="120" w:line="288" w:lineRule="auto"/>
      <w:ind w:left="280" w:firstLine="440"/>
      <w:jc w:val="both"/>
      <w:outlineLvl w:val="1"/>
    </w:pPr>
    <w:rPr>
      <w:rFonts w:cs="Times New Roman"/>
      <w:b/>
      <w:spacing w:val="-4"/>
      <w:szCs w:val="28"/>
    </w:rPr>
  </w:style>
  <w:style w:type="paragraph" w:styleId="TOC4">
    <w:name w:val="toc 4"/>
    <w:basedOn w:val="Normal"/>
    <w:next w:val="Normal"/>
    <w:uiPriority w:val="39"/>
    <w:qFormat/>
    <w:pPr>
      <w:spacing w:after="0"/>
      <w:ind w:left="560"/>
    </w:pPr>
    <w:rPr>
      <w:rFonts w:asciiTheme="minorHAnsi" w:hAnsiTheme="minorHAnsi" w:cstheme="minorHAnsi"/>
      <w:sz w:val="20"/>
      <w:szCs w:val="20"/>
    </w:rPr>
  </w:style>
  <w:style w:type="paragraph" w:styleId="TOC5">
    <w:name w:val="toc 5"/>
    <w:basedOn w:val="Normal"/>
    <w:next w:val="Normal"/>
    <w:uiPriority w:val="39"/>
    <w:qFormat/>
    <w:pPr>
      <w:spacing w:after="0"/>
      <w:ind w:left="840"/>
    </w:pPr>
    <w:rPr>
      <w:rFonts w:asciiTheme="minorHAnsi" w:hAnsiTheme="minorHAnsi" w:cstheme="minorHAnsi"/>
      <w:sz w:val="20"/>
      <w:szCs w:val="20"/>
    </w:rPr>
  </w:style>
  <w:style w:type="paragraph" w:styleId="TOC6">
    <w:name w:val="toc 6"/>
    <w:basedOn w:val="Normal"/>
    <w:next w:val="Normal"/>
    <w:uiPriority w:val="39"/>
    <w:qFormat/>
    <w:pPr>
      <w:spacing w:after="0"/>
      <w:ind w:left="1120"/>
    </w:pPr>
    <w:rPr>
      <w:rFonts w:asciiTheme="minorHAnsi" w:hAnsiTheme="minorHAnsi" w:cstheme="minorHAnsi"/>
      <w:sz w:val="20"/>
      <w:szCs w:val="20"/>
    </w:rPr>
  </w:style>
  <w:style w:type="paragraph" w:styleId="TOC7">
    <w:name w:val="toc 7"/>
    <w:basedOn w:val="Normal"/>
    <w:next w:val="Normal"/>
    <w:uiPriority w:val="39"/>
    <w:qFormat/>
    <w:pPr>
      <w:spacing w:after="0"/>
      <w:ind w:left="1400"/>
    </w:pPr>
    <w:rPr>
      <w:rFonts w:asciiTheme="minorHAnsi" w:hAnsiTheme="minorHAnsi" w:cstheme="minorHAnsi"/>
      <w:sz w:val="20"/>
      <w:szCs w:val="20"/>
    </w:rPr>
  </w:style>
  <w:style w:type="paragraph" w:styleId="TOC8">
    <w:name w:val="toc 8"/>
    <w:basedOn w:val="Normal"/>
    <w:next w:val="Normal"/>
    <w:uiPriority w:val="39"/>
    <w:qFormat/>
    <w:pPr>
      <w:spacing w:after="0"/>
      <w:ind w:left="1680"/>
    </w:pPr>
    <w:rPr>
      <w:rFonts w:asciiTheme="minorHAnsi" w:hAnsiTheme="minorHAnsi" w:cstheme="minorHAnsi"/>
      <w:sz w:val="20"/>
      <w:szCs w:val="20"/>
    </w:rPr>
  </w:style>
  <w:style w:type="paragraph" w:styleId="TOC9">
    <w:name w:val="toc 9"/>
    <w:basedOn w:val="Normal"/>
    <w:next w:val="Normal"/>
    <w:uiPriority w:val="39"/>
    <w:qFormat/>
    <w:pPr>
      <w:spacing w:after="0"/>
      <w:ind w:left="1960"/>
    </w:pPr>
    <w:rPr>
      <w:rFonts w:asciiTheme="minorHAnsi" w:hAnsiTheme="minorHAnsi" w:cstheme="minorHAnsi"/>
      <w:sz w:val="20"/>
      <w:szCs w:val="20"/>
    </w:rPr>
  </w:style>
  <w:style w:type="character" w:customStyle="1" w:styleId="Heading1Char">
    <w:name w:val="Heading 1 Char"/>
    <w:basedOn w:val="DefaultParagraphFont"/>
    <w:link w:val="Heading1"/>
    <w:qFormat/>
    <w:rPr>
      <w:rFonts w:eastAsia="Times New Roman"/>
      <w:b/>
      <w:bCs/>
      <w:kern w:val="36"/>
      <w:sz w:val="48"/>
      <w:szCs w:val="48"/>
    </w:rPr>
  </w:style>
  <w:style w:type="character" w:customStyle="1" w:styleId="Heading2Char">
    <w:name w:val="Heading 2 Char"/>
    <w:basedOn w:val="DefaultParagraphFont"/>
    <w:link w:val="Heading2"/>
    <w:qFormat/>
    <w:rPr>
      <w:rFonts w:eastAsia="Times New Roman"/>
      <w:b/>
      <w:bCs/>
      <w:kern w:val="0"/>
      <w:sz w:val="36"/>
      <w:szCs w:val="36"/>
    </w:rPr>
  </w:style>
  <w:style w:type="character" w:customStyle="1" w:styleId="Heading3Char">
    <w:name w:val="Heading 3 Char"/>
    <w:basedOn w:val="DefaultParagraphFont"/>
    <w:link w:val="Heading3"/>
    <w:qFormat/>
    <w:rPr>
      <w:rFonts w:eastAsia="Times New Roman"/>
      <w:b/>
      <w:bCs/>
      <w:kern w:val="0"/>
      <w:sz w:val="28"/>
      <w:szCs w:val="27"/>
    </w:rPr>
  </w:style>
  <w:style w:type="character" w:customStyle="1" w:styleId="Heading4Char">
    <w:name w:val="Heading 4 Char"/>
    <w:basedOn w:val="DefaultParagraphFont"/>
    <w:link w:val="Heading4"/>
    <w:qFormat/>
    <w:rPr>
      <w:rFonts w:eastAsiaTheme="majorEastAsia" w:cstheme="majorBidi"/>
      <w:b/>
      <w:i/>
      <w:iCs/>
      <w:color w:val="002060"/>
      <w:kern w:val="0"/>
      <w:sz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kern w:val="0"/>
      <w:sz w:val="18"/>
      <w:szCs w:val="18"/>
    </w:rPr>
  </w:style>
  <w:style w:type="character" w:customStyle="1" w:styleId="FootnoteTextChar">
    <w:name w:val="Footnote Text Char"/>
    <w:basedOn w:val="DefaultParagraphFont"/>
    <w:link w:val="FootnoteText"/>
    <w:qFormat/>
    <w:rPr>
      <w:rFonts w:eastAsia="Times New Roman"/>
      <w:kern w:val="0"/>
      <w:sz w:val="20"/>
      <w:szCs w:val="20"/>
    </w:rPr>
  </w:style>
  <w:style w:type="character" w:customStyle="1" w:styleId="normal-h1">
    <w:name w:val="normal-h1"/>
    <w:qFormat/>
    <w:rPr>
      <w:rFonts w:ascii=".VnTime" w:hAnsi=".VnTime" w:hint="default"/>
      <w:color w:val="0000FF"/>
      <w:sz w:val="24"/>
      <w:szCs w:val="24"/>
    </w:rPr>
  </w:style>
  <w:style w:type="paragraph" w:customStyle="1" w:styleId="normal-p">
    <w:name w:val="normal-p"/>
    <w:basedOn w:val="Normal"/>
    <w:qFormat/>
    <w:pPr>
      <w:overflowPunct w:val="0"/>
      <w:spacing w:after="0" w:line="240" w:lineRule="auto"/>
      <w:jc w:val="both"/>
      <w:textAlignment w:val="baseline"/>
    </w:pPr>
    <w:rPr>
      <w:rFonts w:eastAsia="Times New Roman" w:cs="Times New Roman"/>
      <w:sz w:val="20"/>
      <w:szCs w:val="20"/>
    </w:rPr>
  </w:style>
  <w:style w:type="character" w:customStyle="1" w:styleId="NormalWebChar">
    <w:name w:val="Normal (Web) Char"/>
    <w:link w:val="NormalWeb"/>
    <w:uiPriority w:val="99"/>
    <w:qFormat/>
    <w:locked/>
    <w:rPr>
      <w:rFonts w:ascii="Verdana" w:eastAsia="Times New Roman" w:hAnsi="Verdana"/>
      <w:kern w:val="0"/>
      <w:szCs w:val="24"/>
    </w:rPr>
  </w:style>
  <w:style w:type="paragraph" w:customStyle="1" w:styleId="ez-toc-title">
    <w:name w:val="ez-toc-title"/>
    <w:basedOn w:val="Normal"/>
    <w:qFormat/>
    <w:pPr>
      <w:spacing w:before="100" w:beforeAutospacing="1" w:after="100" w:afterAutospacing="1" w:line="240" w:lineRule="auto"/>
    </w:pPr>
    <w:rPr>
      <w:rFonts w:eastAsia="Times New Roman" w:cs="Times New Roman"/>
      <w:sz w:val="24"/>
      <w:szCs w:val="24"/>
    </w:rPr>
  </w:style>
  <w:style w:type="character" w:customStyle="1" w:styleId="postviewcount">
    <w:name w:val="postviewcount"/>
    <w:basedOn w:val="DefaultParagraphFont"/>
    <w:qFormat/>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00"/>
      <w:ind w:firstLine="400"/>
    </w:pPr>
    <w:rPr>
      <w:rFonts w:cs="Times New Roman"/>
      <w:kern w:val="2"/>
      <w:sz w:val="26"/>
      <w:szCs w:val="26"/>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14:ligatures w14:val="standardContextual"/>
    </w:rPr>
  </w:style>
  <w:style w:type="paragraph" w:customStyle="1" w:styleId="CharCharChar1">
    <w:name w:val="Char Char Char1"/>
    <w:basedOn w:val="Heading4"/>
    <w:qFormat/>
    <w:pPr>
      <w:keepLines w:val="0"/>
      <w:spacing w:before="240" w:after="60" w:line="240" w:lineRule="auto"/>
      <w:ind w:right="-392"/>
    </w:pPr>
    <w:rPr>
      <w:rFonts w:eastAsia="Times New Roman" w:cs="Times New Roman"/>
      <w:b w:val="0"/>
      <w:i w:val="0"/>
      <w:color w:val="auto"/>
      <w:sz w:val="27"/>
      <w:szCs w:val="28"/>
    </w:rPr>
  </w:style>
  <w:style w:type="paragraph" w:customStyle="1" w:styleId="TOCHeading1">
    <w:name w:val="TOC Heading1"/>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FooterChar">
    <w:name w:val="Footer Char"/>
    <w:basedOn w:val="DefaultParagraphFont"/>
    <w:link w:val="Footer"/>
    <w:qFormat/>
    <w:rPr>
      <w:rFonts w:eastAsia="Times New Roman"/>
      <w:kern w:val="0"/>
      <w:sz w:val="28"/>
      <w:szCs w:val="28"/>
    </w:rPr>
  </w:style>
  <w:style w:type="character" w:customStyle="1" w:styleId="CommentTextChar">
    <w:name w:val="Comment Text Char"/>
    <w:basedOn w:val="DefaultParagraphFont"/>
    <w:link w:val="CommentText"/>
    <w:semiHidden/>
    <w:qFormat/>
    <w:rPr>
      <w:rFonts w:eastAsia="Times New Roman"/>
      <w:kern w:val="0"/>
      <w:sz w:val="20"/>
      <w:szCs w:val="20"/>
    </w:rPr>
  </w:style>
  <w:style w:type="character" w:customStyle="1" w:styleId="CommentSubjectChar">
    <w:name w:val="Comment Subject Char"/>
    <w:basedOn w:val="CommentTextChar"/>
    <w:link w:val="CommentSubject"/>
    <w:semiHidden/>
    <w:qFormat/>
    <w:rPr>
      <w:rFonts w:eastAsia="Times New Roman"/>
      <w:b/>
      <w:bCs/>
      <w:kern w:val="0"/>
      <w:sz w:val="20"/>
      <w:szCs w:val="20"/>
    </w:rPr>
  </w:style>
  <w:style w:type="character" w:customStyle="1" w:styleId="HeaderChar">
    <w:name w:val="Header Char"/>
    <w:basedOn w:val="DefaultParagraphFont"/>
    <w:link w:val="Header"/>
    <w:uiPriority w:val="99"/>
    <w:qFormat/>
    <w:rPr>
      <w:rFonts w:eastAsia="Times New Roman"/>
      <w:kern w:val="0"/>
      <w:szCs w:val="24"/>
    </w:rPr>
  </w:style>
  <w:style w:type="paragraph" w:customStyle="1" w:styleId="CharCharChar">
    <w:name w:val="Char Char Char"/>
    <w:basedOn w:val="Heading4"/>
    <w:qFormat/>
    <w:pPr>
      <w:keepLines w:val="0"/>
      <w:spacing w:before="240" w:after="60" w:line="240" w:lineRule="auto"/>
      <w:ind w:right="-392"/>
    </w:pPr>
    <w:rPr>
      <w:rFonts w:eastAsia="Times New Roman" w:cs="Times New Roman"/>
      <w:b w:val="0"/>
      <w:i w:val="0"/>
      <w:color w:val="auto"/>
      <w:sz w:val="27"/>
      <w:szCs w:val="28"/>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rPr>
  </w:style>
  <w:style w:type="paragraph" w:customStyle="1" w:styleId="Char">
    <w:name w:val="Char"/>
    <w:basedOn w:val="Heading4"/>
    <w:qFormat/>
    <w:pPr>
      <w:keepLines w:val="0"/>
      <w:spacing w:before="240" w:after="60" w:line="240" w:lineRule="auto"/>
      <w:ind w:right="-392"/>
    </w:pPr>
    <w:rPr>
      <w:rFonts w:eastAsia="Times New Roman" w:cs="Times New Roman"/>
      <w:b w:val="0"/>
      <w:i w:val="0"/>
      <w:color w:val="auto"/>
      <w:sz w:val="27"/>
      <w:szCs w:val="28"/>
    </w:rPr>
  </w:style>
  <w:style w:type="character" w:customStyle="1" w:styleId="BodyTextIndent3Char">
    <w:name w:val="Body Text Indent 3 Char"/>
    <w:basedOn w:val="DefaultParagraphFont"/>
    <w:link w:val="BodyTextIndent3"/>
    <w:qFormat/>
    <w:rPr>
      <w:rFonts w:ascii=".VnTime" w:eastAsia="Times New Roman" w:hAnsi=".VnTime"/>
      <w:kern w:val="0"/>
      <w:szCs w:val="20"/>
      <w:lang w:val="zh-CN" w:eastAsia="zh-CN"/>
    </w:rPr>
  </w:style>
  <w:style w:type="paragraph" w:customStyle="1" w:styleId="CharCharCharCharCharCharCharCharChar1Char">
    <w:name w:val="Char Char Char Char Char Char Char Char Char1 Char"/>
    <w:basedOn w:val="Normal"/>
    <w:semiHidden/>
    <w:qFormat/>
    <w:pPr>
      <w:spacing w:after="160" w:line="240" w:lineRule="exact"/>
    </w:pPr>
    <w:rPr>
      <w:rFonts w:ascii="Arial" w:eastAsia="Times New Roman" w:hAnsi="Arial" w:cs="Times New Roman"/>
      <w:sz w:val="22"/>
    </w:rPr>
  </w:style>
  <w:style w:type="paragraph" w:customStyle="1" w:styleId="dieu">
    <w:name w:val="dieu"/>
    <w:basedOn w:val="Normal"/>
    <w:link w:val="dieuChar"/>
    <w:qFormat/>
    <w:pPr>
      <w:spacing w:after="120" w:line="240" w:lineRule="auto"/>
      <w:ind w:firstLine="720"/>
    </w:pPr>
    <w:rPr>
      <w:rFonts w:eastAsia="Times New Roman" w:cs="Times New Roman"/>
      <w:b/>
      <w:color w:val="0000FF"/>
      <w:spacing w:val="24"/>
      <w:sz w:val="26"/>
      <w:szCs w:val="26"/>
      <w:lang w:val="zh-CN" w:eastAsia="zh-CN"/>
    </w:rPr>
  </w:style>
  <w:style w:type="character" w:customStyle="1" w:styleId="dieuChar">
    <w:name w:val="dieu Char"/>
    <w:link w:val="dieu"/>
    <w:qFormat/>
    <w:rPr>
      <w:rFonts w:eastAsia="Times New Roman"/>
      <w:b/>
      <w:color w:val="0000FF"/>
      <w:spacing w:val="24"/>
      <w:kern w:val="0"/>
      <w:sz w:val="26"/>
      <w:szCs w:val="26"/>
      <w:lang w:val="zh-CN" w:eastAsia="zh-CN"/>
    </w:rPr>
  </w:style>
  <w:style w:type="paragraph" w:customStyle="1" w:styleId="CharCharCharChar">
    <w:name w:val="Char Char Char Char"/>
    <w:next w:val="Normal"/>
    <w:semiHidden/>
    <w:qFormat/>
    <w:pPr>
      <w:spacing w:after="160" w:line="240" w:lineRule="exact"/>
      <w:jc w:val="both"/>
    </w:pPr>
    <w:rPr>
      <w:rFonts w:eastAsia="Times New Roman"/>
      <w:sz w:val="28"/>
      <w:szCs w:val="22"/>
      <w14:ligatures w14:val="standardContextual"/>
    </w:rPr>
  </w:style>
  <w:style w:type="character" w:customStyle="1" w:styleId="dieuChar1">
    <w:name w:val="dieu Char1"/>
    <w:qFormat/>
    <w:rPr>
      <w:b/>
      <w:color w:val="0000FF"/>
      <w:spacing w:val="24"/>
      <w:sz w:val="26"/>
      <w:szCs w:val="26"/>
      <w:lang w:val="en-US" w:eastAsia="en-US" w:bidi="ar-SA"/>
    </w:rPr>
  </w:style>
  <w:style w:type="character" w:customStyle="1" w:styleId="normal-h">
    <w:name w:val="normal-h"/>
    <w:basedOn w:val="DefaultParagraphFont"/>
    <w:qFormat/>
  </w:style>
  <w:style w:type="paragraph" w:customStyle="1" w:styleId="Normal1">
    <w:name w:val="Normal1"/>
    <w:basedOn w:val="Normal"/>
    <w:qFormat/>
    <w:pPr>
      <w:spacing w:before="100" w:beforeAutospacing="1" w:after="100" w:afterAutospacing="1" w:line="240" w:lineRule="auto"/>
    </w:pPr>
    <w:rPr>
      <w:rFonts w:eastAsia="SimSun" w:cs="Times New Roman"/>
      <w:color w:val="000000"/>
      <w:sz w:val="24"/>
      <w:szCs w:val="24"/>
      <w:lang w:eastAsia="zh-CN"/>
    </w:rPr>
  </w:style>
  <w:style w:type="character" w:customStyle="1" w:styleId="demuc4">
    <w:name w:val="demuc4"/>
    <w:basedOn w:val="DefaultParagraphFont"/>
    <w:qFormat/>
  </w:style>
  <w:style w:type="paragraph" w:customStyle="1" w:styleId="2">
    <w:name w:val="2"/>
    <w:basedOn w:val="Heading1"/>
    <w:qFormat/>
    <w:pPr>
      <w:keepNext/>
      <w:spacing w:before="120" w:beforeAutospacing="0" w:after="120" w:afterAutospacing="0" w:line="360" w:lineRule="auto"/>
    </w:pPr>
    <w:rPr>
      <w:bCs w:val="0"/>
      <w:kern w:val="32"/>
      <w:sz w:val="28"/>
      <w:szCs w:val="28"/>
    </w:rPr>
  </w:style>
  <w:style w:type="character" w:customStyle="1" w:styleId="dieuchar1-h">
    <w:name w:val="dieuchar1-h"/>
    <w:basedOn w:val="DefaultParagraphFont"/>
    <w:qFormat/>
  </w:style>
  <w:style w:type="character" w:customStyle="1" w:styleId="BodyTextChar">
    <w:name w:val="Body Text Char"/>
    <w:basedOn w:val="DefaultParagraphFont"/>
    <w:link w:val="BodyText"/>
    <w:uiPriority w:val="99"/>
    <w:qFormat/>
    <w:rPr>
      <w:rFonts w:cstheme="minorBidi"/>
      <w:kern w:val="0"/>
      <w:sz w:val="28"/>
    </w:rPr>
  </w:style>
  <w:style w:type="paragraph" w:customStyle="1" w:styleId="StyleHeading2TimesNewRomanNotItalicFirstline127cm">
    <w:name w:val="Style Heading 2 + Times New Roman Not Italic First line:  1.27 cm"/>
    <w:basedOn w:val="Heading2"/>
    <w:qFormat/>
    <w:pPr>
      <w:keepNext/>
      <w:spacing w:before="240" w:beforeAutospacing="0" w:after="60" w:afterAutospacing="0"/>
      <w:ind w:firstLine="720"/>
    </w:pPr>
    <w:rPr>
      <w:sz w:val="28"/>
      <w:szCs w:val="20"/>
    </w:rPr>
  </w:style>
  <w:style w:type="character" w:customStyle="1" w:styleId="BodyTextIndentChar">
    <w:name w:val="Body Text Indent Char"/>
    <w:basedOn w:val="DefaultParagraphFont"/>
    <w:link w:val="BodyTextIndent"/>
    <w:uiPriority w:val="99"/>
    <w:semiHidden/>
    <w:qFormat/>
    <w:rPr>
      <w:rFonts w:cstheme="minorBidi"/>
      <w:kern w:val="0"/>
      <w:sz w:val="28"/>
    </w:rPr>
  </w:style>
  <w:style w:type="character" w:customStyle="1" w:styleId="TitleChar">
    <w:name w:val="Title Char"/>
    <w:basedOn w:val="DefaultParagraphFont"/>
    <w:link w:val="Title"/>
    <w:qFormat/>
    <w:rPr>
      <w:rFonts w:eastAsia="Times New Roman"/>
      <w:b/>
      <w:kern w:val="1"/>
      <w:szCs w:val="24"/>
    </w:rPr>
  </w:style>
  <w:style w:type="character" w:customStyle="1" w:styleId="Tiu1">
    <w:name w:val="Tiêu đề #1_"/>
    <w:link w:val="Tiu10"/>
    <w:uiPriority w:val="99"/>
    <w:qFormat/>
    <w:rPr>
      <w:b/>
      <w:bCs/>
      <w:szCs w:val="28"/>
    </w:rPr>
  </w:style>
  <w:style w:type="paragraph" w:customStyle="1" w:styleId="Tiu10">
    <w:name w:val="Tiêu đề #1"/>
    <w:basedOn w:val="Normal"/>
    <w:link w:val="Tiu1"/>
    <w:uiPriority w:val="99"/>
    <w:qFormat/>
    <w:pPr>
      <w:widowControl w:val="0"/>
      <w:spacing w:after="240" w:line="245" w:lineRule="auto"/>
      <w:jc w:val="center"/>
      <w:outlineLvl w:val="0"/>
    </w:pPr>
    <w:rPr>
      <w:rFonts w:cs="Times New Roman"/>
      <w:b/>
      <w:bCs/>
      <w:kern w:val="2"/>
      <w:sz w:val="24"/>
      <w:szCs w:val="28"/>
    </w:rPr>
  </w:style>
  <w:style w:type="character" w:customStyle="1" w:styleId="BodyTextChar1">
    <w:name w:val="Body Text Char1"/>
    <w:uiPriority w:val="99"/>
    <w:qFormat/>
    <w:locked/>
    <w:rPr>
      <w:rFonts w:ascii="Times New Roman" w:hAnsi="Times New Roman"/>
      <w:sz w:val="26"/>
      <w:shd w:val="clear" w:color="auto" w:fill="FFFFFF"/>
    </w:rPr>
  </w:style>
  <w:style w:type="character" w:customStyle="1" w:styleId="bgyelow">
    <w:name w:val="bg_yelow"/>
    <w:basedOn w:val="DefaultParagraphFont"/>
    <w:qFormat/>
  </w:style>
  <w:style w:type="paragraph" w:customStyle="1" w:styleId="li-news-tip">
    <w:name w:val="li-news-tip"/>
    <w:basedOn w:val="Normal"/>
    <w:qFormat/>
    <w:pPr>
      <w:spacing w:before="100" w:beforeAutospacing="1" w:after="100" w:afterAutospacing="1" w:line="240" w:lineRule="auto"/>
    </w:pPr>
    <w:rPr>
      <w:rFonts w:eastAsia="Times New Roman" w:cs="Times New Roman"/>
      <w:sz w:val="24"/>
      <w:szCs w:val="24"/>
      <w14:ligatures w14:val="none"/>
    </w:rPr>
  </w:style>
  <w:style w:type="character" w:customStyle="1" w:styleId="tooltip-47">
    <w:name w:val="tooltip-47"/>
    <w:basedOn w:val="DefaultParagraphFont"/>
    <w:qFormat/>
  </w:style>
  <w:style w:type="character" w:customStyle="1" w:styleId="Heading5Char">
    <w:name w:val="Heading 5 Char"/>
    <w:basedOn w:val="DefaultParagraphFont"/>
    <w:link w:val="Heading5"/>
    <w:uiPriority w:val="9"/>
    <w:qFormat/>
    <w:rPr>
      <w:rFonts w:eastAsiaTheme="majorEastAsia" w:cstheme="majorBidi"/>
      <w:color w:val="2F5496" w:themeColor="accent1" w:themeShade="BF"/>
      <w:kern w:val="0"/>
      <w:sz w:val="28"/>
      <w:u w:val="single"/>
    </w:rPr>
  </w:style>
  <w:style w:type="paragraph" w:customStyle="1" w:styleId="Revision1">
    <w:name w:val="Revision1"/>
    <w:hidden/>
    <w:uiPriority w:val="99"/>
    <w:semiHidden/>
    <w:qFormat/>
    <w:rPr>
      <w:rFonts w:cstheme="minorBidi"/>
      <w:sz w:val="28"/>
      <w:szCs w:val="22"/>
      <w14:ligatures w14:val="standardContextual"/>
    </w:rPr>
  </w:style>
  <w:style w:type="paragraph" w:customStyle="1" w:styleId="iu">
    <w:name w:val="Điều"/>
    <w:basedOn w:val="Normal"/>
    <w:qFormat/>
    <w:pPr>
      <w:numPr>
        <w:numId w:val="1"/>
      </w:numPr>
      <w:spacing w:before="120" w:after="120"/>
      <w:jc w:val="both"/>
    </w:pPr>
    <w:rPr>
      <w:b/>
      <w:bCs/>
      <w:szCs w:val="28"/>
    </w:rPr>
  </w:style>
  <w:style w:type="paragraph" w:customStyle="1" w:styleId="NidungA">
    <w:name w:val="Nội dung A"/>
    <w:qFormat/>
    <w:pPr>
      <w:spacing w:before="120" w:after="120" w:line="264" w:lineRule="auto"/>
      <w:ind w:firstLine="567"/>
      <w:jc w:val="both"/>
    </w:pPr>
    <w:rPr>
      <w:rFonts w:ascii="Calibri" w:eastAsia="Calibri" w:hAnsi="Calibri" w:cs="Calibri"/>
      <w:color w:val="000000"/>
      <w:sz w:val="22"/>
      <w:szCs w:val="22"/>
      <w:u w:color="000000"/>
    </w:rPr>
  </w:style>
  <w:style w:type="paragraph" w:styleId="Revision">
    <w:name w:val="Revision"/>
    <w:hidden/>
    <w:uiPriority w:val="99"/>
    <w:unhideWhenUsed/>
    <w:rsid w:val="00DC17C9"/>
    <w:rPr>
      <w:rFonts w:cstheme="minorBidi"/>
      <w:sz w:val="28"/>
      <w:szCs w:val="22"/>
      <w14:ligatures w14:val="standardContextual"/>
    </w:rPr>
  </w:style>
  <w:style w:type="paragraph" w:customStyle="1" w:styleId="1Normal">
    <w:name w:val="1Normal"/>
    <w:basedOn w:val="Normal"/>
    <w:link w:val="1NormalChar"/>
    <w:qFormat/>
    <w:rsid w:val="007B51C6"/>
    <w:pPr>
      <w:widowControl w:val="0"/>
      <w:spacing w:before="120" w:after="120" w:line="240" w:lineRule="auto"/>
      <w:ind w:firstLine="567"/>
      <w:jc w:val="both"/>
    </w:pPr>
    <w:rPr>
      <w:rFonts w:eastAsia="SimSun" w:cs="Times New Roman"/>
      <w:color w:val="000000"/>
      <w:szCs w:val="28"/>
      <w:shd w:val="clear" w:color="auto" w:fill="FFFFFF"/>
      <w:lang w:val="vi-VN"/>
      <w14:ligatures w14:val="none"/>
    </w:rPr>
  </w:style>
  <w:style w:type="character" w:customStyle="1" w:styleId="1NormalChar">
    <w:name w:val="1Normal Char"/>
    <w:link w:val="1Normal"/>
    <w:rsid w:val="007B51C6"/>
    <w:rPr>
      <w:rFonts w:eastAsia="SimSun"/>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890438">
      <w:bodyDiv w:val="1"/>
      <w:marLeft w:val="0"/>
      <w:marRight w:val="0"/>
      <w:marTop w:val="0"/>
      <w:marBottom w:val="0"/>
      <w:divBdr>
        <w:top w:val="none" w:sz="0" w:space="0" w:color="auto"/>
        <w:left w:val="none" w:sz="0" w:space="0" w:color="auto"/>
        <w:bottom w:val="none" w:sz="0" w:space="0" w:color="auto"/>
        <w:right w:val="none" w:sz="0" w:space="0" w:color="auto"/>
      </w:divBdr>
    </w:div>
    <w:div w:id="1496726920">
      <w:bodyDiv w:val="1"/>
      <w:marLeft w:val="0"/>
      <w:marRight w:val="0"/>
      <w:marTop w:val="0"/>
      <w:marBottom w:val="0"/>
      <w:divBdr>
        <w:top w:val="none" w:sz="0" w:space="0" w:color="auto"/>
        <w:left w:val="none" w:sz="0" w:space="0" w:color="auto"/>
        <w:bottom w:val="none" w:sz="0" w:space="0" w:color="auto"/>
        <w:right w:val="none" w:sz="0" w:space="0" w:color="auto"/>
      </w:divBdr>
    </w:div>
    <w:div w:id="1678574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(Le Thi Nhan)</dc:creator>
  <cp:lastModifiedBy>Trinh Tien Dung</cp:lastModifiedBy>
  <cp:revision>224</cp:revision>
  <cp:lastPrinted>2025-10-02T07:46:00Z</cp:lastPrinted>
  <dcterms:created xsi:type="dcterms:W3CDTF">2025-10-01T12:03:00Z</dcterms:created>
  <dcterms:modified xsi:type="dcterms:W3CDTF">2026-01-12T06:54:00Z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